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hint="eastAsia" w:ascii="Arial" w:hAnsi="Arial" w:cs="Arial"/>
          <w:b/>
          <w:bCs/>
          <w:sz w:val="22"/>
          <w:szCs w:val="22"/>
        </w:rPr>
        <w:t>#103-e</w:t>
      </w:r>
      <w:r>
        <w:rPr>
          <w:rFonts w:ascii="Arial" w:hAnsi="Arial" w:cs="Arial"/>
          <w:b/>
          <w:bCs/>
          <w:sz w:val="22"/>
          <w:szCs w:val="22"/>
        </w:rPr>
        <w:tab/>
      </w:r>
      <w:r>
        <w:rPr>
          <w:rFonts w:ascii="Arial" w:hAnsi="Arial" w:cs="Arial"/>
          <w:b/>
          <w:bCs/>
          <w:sz w:val="22"/>
          <w:szCs w:val="22"/>
        </w:rPr>
        <w:tab/>
      </w:r>
      <w:r>
        <w:rPr>
          <w:rFonts w:hint="eastAsia" w:ascii="Arial" w:hAnsi="Arial" w:cs="Arial"/>
          <w:b/>
          <w:bCs/>
          <w:sz w:val="22"/>
          <w:szCs w:val="22"/>
        </w:rPr>
        <w:t>R1-2008877</w:t>
      </w:r>
    </w:p>
    <w:p>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lang w:eastAsia="ja-JP"/>
        </w:rPr>
        <w:t xml:space="preserve">e-Meeting, </w:t>
      </w:r>
      <w:r>
        <w:rPr>
          <w:rFonts w:hint="eastAsia" w:ascii="Arial" w:hAnsi="Arial" w:cs="Arial"/>
          <w:b/>
          <w:bCs/>
          <w:sz w:val="22"/>
          <w:szCs w:val="22"/>
        </w:rPr>
        <w:t>October 26</w:t>
      </w:r>
      <w:r>
        <w:rPr>
          <w:rFonts w:ascii="Arial" w:hAnsi="Arial" w:cs="Arial"/>
          <w:b/>
          <w:bCs/>
          <w:sz w:val="22"/>
          <w:szCs w:val="22"/>
          <w:vertAlign w:val="superscript"/>
          <w:lang w:eastAsia="ja-JP"/>
        </w:rPr>
        <w:t>th</w:t>
      </w:r>
      <w:r>
        <w:rPr>
          <w:rFonts w:ascii="Arial" w:hAnsi="Arial" w:cs="Arial"/>
          <w:b/>
          <w:bCs/>
          <w:sz w:val="22"/>
          <w:szCs w:val="22"/>
          <w:lang w:eastAsia="ja-JP"/>
        </w:rPr>
        <w:t xml:space="preserve"> – </w:t>
      </w:r>
      <w:r>
        <w:rPr>
          <w:rFonts w:hint="eastAsia" w:ascii="Arial" w:hAnsi="Arial" w:cs="Arial"/>
          <w:b/>
          <w:bCs/>
          <w:sz w:val="22"/>
          <w:szCs w:val="22"/>
          <w:lang w:eastAsia="ja-JP"/>
        </w:rPr>
        <w:t>November</w:t>
      </w:r>
      <w:r>
        <w:rPr>
          <w:rFonts w:hint="eastAsia" w:ascii="Arial" w:hAnsi="Arial" w:cs="Arial"/>
          <w:b/>
          <w:bCs/>
          <w:sz w:val="22"/>
          <w:szCs w:val="22"/>
        </w:rPr>
        <w:t xml:space="preserve"> 13</w:t>
      </w:r>
      <w:r>
        <w:rPr>
          <w:rFonts w:ascii="Arial" w:hAnsi="Arial" w:cs="Arial"/>
          <w:b/>
          <w:bCs/>
          <w:sz w:val="22"/>
          <w:szCs w:val="22"/>
          <w:vertAlign w:val="superscript"/>
          <w:lang w:eastAsia="ja-JP"/>
        </w:rPr>
        <w:t>th</w:t>
      </w:r>
      <w:r>
        <w:rPr>
          <w:rFonts w:ascii="Arial" w:hAnsi="Arial" w:cs="Arial"/>
          <w:b/>
          <w:bCs/>
          <w:sz w:val="22"/>
          <w:szCs w:val="22"/>
          <w:lang w:eastAsia="ja-JP"/>
        </w:rPr>
        <w:t>,</w:t>
      </w:r>
      <w:r>
        <w:rPr>
          <w:rFonts w:hint="eastAsia" w:ascii="Arial" w:hAnsi="Arial" w:cs="Arial"/>
          <w:b/>
          <w:bCs/>
          <w:sz w:val="22"/>
          <w:szCs w:val="22"/>
        </w:rPr>
        <w:t xml:space="preserve"> </w:t>
      </w:r>
      <w:r>
        <w:rPr>
          <w:rFonts w:ascii="Arial" w:hAnsi="Arial" w:cs="Arial"/>
          <w:b/>
          <w:bCs/>
          <w:sz w:val="22"/>
          <w:szCs w:val="22"/>
          <w:lang w:eastAsia="ja-JP"/>
        </w:rPr>
        <w:t>2020</w:t>
      </w:r>
    </w:p>
    <w:p>
      <w:pPr>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hint="eastAsia" w:ascii="Arial" w:hAnsi="Arial"/>
          <w:b/>
          <w:sz w:val="22"/>
          <w:szCs w:val="22"/>
        </w:rPr>
        <w:t>Analysis on remaining issues for sidelink evaluation methodology</w:t>
      </w:r>
    </w:p>
    <w:p>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b/>
          <w:sz w:val="22"/>
          <w:szCs w:val="22"/>
        </w:rPr>
        <w:t>ZTE</w:t>
      </w:r>
      <w:r>
        <w:rPr>
          <w:rFonts w:hint="eastAsia" w:ascii="Arial" w:hAnsi="Arial"/>
          <w:b/>
          <w:sz w:val="22"/>
          <w:szCs w:val="22"/>
          <w:lang w:val="en-US" w:eastAsia="zh-CN"/>
        </w:rPr>
        <w:t xml:space="preserve"> Corporation</w:t>
      </w:r>
      <w:r>
        <w:rPr>
          <w:rFonts w:ascii="Arial" w:hAnsi="Arial"/>
          <w:b/>
          <w:sz w:val="22"/>
          <w:szCs w:val="22"/>
        </w:rPr>
        <w:t>,</w:t>
      </w:r>
      <w:r>
        <w:rPr>
          <w:rFonts w:hint="eastAsia" w:ascii="Arial" w:hAnsi="Arial"/>
          <w:b/>
          <w:sz w:val="22"/>
          <w:szCs w:val="22"/>
        </w:rPr>
        <w:t xml:space="preserve"> Sanechips</w:t>
      </w:r>
    </w:p>
    <w:p>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hint="eastAsia" w:ascii="Arial" w:hAnsi="Arial"/>
          <w:b/>
          <w:sz w:val="22"/>
          <w:szCs w:val="22"/>
        </w:rPr>
        <w:t>8.11.1</w:t>
      </w:r>
    </w:p>
    <w:p>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hint="eastAsia" w:ascii="Arial" w:hAnsi="Arial"/>
          <w:b/>
          <w:sz w:val="22"/>
          <w:szCs w:val="22"/>
        </w:rPr>
        <w:t>Discussion</w:t>
      </w:r>
      <w:r>
        <w:rPr>
          <w:rFonts w:ascii="Arial" w:hAnsi="Arial"/>
          <w:b/>
          <w:sz w:val="22"/>
          <w:szCs w:val="22"/>
        </w:rPr>
        <w:t xml:space="preserve"> and decision</w:t>
      </w:r>
    </w:p>
    <w:p>
      <w:pPr>
        <w:pStyle w:val="2"/>
        <w:spacing w:before="120" w:after="120"/>
        <w:ind w:left="0"/>
        <w:rPr>
          <w:rFonts w:eastAsia="宋体"/>
        </w:rPr>
      </w:pPr>
      <w:r>
        <w:rPr>
          <w:rFonts w:hint="eastAsia" w:eastAsia="宋体"/>
        </w:rPr>
        <w:t>Introduction</w:t>
      </w:r>
    </w:p>
    <w:p>
      <w:pPr>
        <w:spacing w:before="120" w:after="120"/>
        <w:rPr>
          <w:sz w:val="20"/>
        </w:rPr>
      </w:pPr>
      <w:r>
        <w:rPr>
          <w:rFonts w:hint="eastAsia"/>
          <w:sz w:val="20"/>
          <w:szCs w:val="22"/>
        </w:rPr>
        <w:t xml:space="preserve">In RAN #88e meeting, it is concluded that NR sidelink can be enhanced for the V2X, public safety and commercial use cases. Moreover, it is suggested that </w:t>
      </w:r>
      <w:r>
        <w:rPr>
          <w:rFonts w:hint="eastAsia"/>
          <w:sz w:val="20"/>
          <w:szCs w:val="22"/>
          <w:lang w:eastAsia="ko-KR"/>
        </w:rPr>
        <w:t>evaluation assumption and performance metric</w:t>
      </w:r>
      <w:r>
        <w:rPr>
          <w:rFonts w:hint="eastAsia"/>
          <w:sz w:val="20"/>
          <w:szCs w:val="22"/>
        </w:rPr>
        <w:t xml:space="preserve"> </w:t>
      </w:r>
      <w:r>
        <w:rPr>
          <w:rFonts w:hint="eastAsia"/>
          <w:sz w:val="20"/>
          <w:szCs w:val="22"/>
          <w:lang w:val="en-US" w:eastAsia="zh-CN"/>
        </w:rPr>
        <w:t>are</w:t>
      </w:r>
      <w:r>
        <w:rPr>
          <w:rFonts w:hint="eastAsia"/>
          <w:sz w:val="20"/>
          <w:szCs w:val="22"/>
        </w:rPr>
        <w:t xml:space="preserve"> d</w:t>
      </w:r>
      <w:r>
        <w:rPr>
          <w:rFonts w:hint="eastAsia"/>
          <w:sz w:val="20"/>
          <w:szCs w:val="22"/>
          <w:lang w:eastAsia="ko-KR"/>
        </w:rPr>
        <w:t>efine</w:t>
      </w:r>
      <w:r>
        <w:rPr>
          <w:rFonts w:hint="eastAsia"/>
          <w:sz w:val="20"/>
          <w:szCs w:val="22"/>
        </w:rPr>
        <w:t>d</w:t>
      </w:r>
      <w:r>
        <w:rPr>
          <w:rFonts w:hint="eastAsia"/>
          <w:sz w:val="20"/>
          <w:szCs w:val="22"/>
          <w:lang w:eastAsia="ko-KR"/>
        </w:rPr>
        <w:t xml:space="preserve"> for power saving by reusing TR 36.843 and/or TR 38.840</w:t>
      </w:r>
      <w:r>
        <w:rPr>
          <w:rFonts w:hint="eastAsia"/>
          <w:sz w:val="20"/>
          <w:szCs w:val="22"/>
        </w:rPr>
        <w:t>.</w:t>
      </w:r>
      <w:r>
        <w:rPr>
          <w:rFonts w:hint="eastAsia"/>
          <w:sz w:val="20"/>
          <w:szCs w:val="22"/>
          <w:lang w:eastAsia="ko-KR"/>
        </w:rPr>
        <w:t xml:space="preserve"> </w:t>
      </w:r>
      <w:r>
        <w:rPr>
          <w:rFonts w:hint="eastAsia"/>
          <w:sz w:val="20"/>
        </w:rPr>
        <w:t xml:space="preserve">In RAN1 #102-e meeting, </w:t>
      </w:r>
      <w:r>
        <w:rPr>
          <w:sz w:val="20"/>
        </w:rPr>
        <w:t xml:space="preserve">the following </w:t>
      </w:r>
      <w:r>
        <w:rPr>
          <w:rFonts w:hint="eastAsia"/>
          <w:sz w:val="20"/>
        </w:rPr>
        <w:t>conclusion</w:t>
      </w:r>
      <w:r>
        <w:rPr>
          <w:sz w:val="20"/>
        </w:rPr>
        <w:t>s</w:t>
      </w:r>
      <w:r>
        <w:rPr>
          <w:rFonts w:hint="eastAsia"/>
          <w:sz w:val="20"/>
        </w:rPr>
        <w:t xml:space="preserve"> </w:t>
      </w:r>
      <w:r>
        <w:rPr>
          <w:sz w:val="20"/>
        </w:rPr>
        <w:t xml:space="preserve">on </w:t>
      </w:r>
      <w:r>
        <w:rPr>
          <w:rFonts w:hint="eastAsia"/>
          <w:sz w:val="20"/>
        </w:rPr>
        <w:t>sidelink evaluation were reached.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pPr>
            <w:bookmarkStart w:id="38" w:name="_GoBack"/>
            <w:r>
              <w:rPr>
                <w:highlight w:val="green"/>
              </w:rPr>
              <w:t>Agreements:</w:t>
            </w:r>
          </w:p>
          <w:p>
            <w:pPr>
              <w:pStyle w:val="50"/>
              <w:widowControl w:val="0"/>
              <w:numPr>
                <w:ilvl w:val="0"/>
                <w:numId w:val="6"/>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sz w:val="20"/>
                <w:szCs w:val="20"/>
                <w:lang w:eastAsia="ko-KR"/>
              </w:rPr>
              <w:t>For reference configuration for power consumption model,</w:t>
            </w:r>
          </w:p>
          <w:p>
            <w:pPr>
              <w:pStyle w:val="50"/>
              <w:widowControl w:val="0"/>
              <w:numPr>
                <w:ilvl w:val="1"/>
                <w:numId w:val="6"/>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sz w:val="20"/>
                <w:szCs w:val="20"/>
                <w:lang w:eastAsia="ko-KR"/>
              </w:rPr>
              <w:t xml:space="preserve">14 SL symbols in a slot (including AGC and TX-RX switching period) </w:t>
            </w:r>
          </w:p>
          <w:p>
            <w:pPr>
              <w:pStyle w:val="50"/>
              <w:widowControl w:val="0"/>
              <w:numPr>
                <w:ilvl w:val="1"/>
                <w:numId w:val="6"/>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sz w:val="20"/>
                <w:szCs w:val="20"/>
                <w:lang w:eastAsia="ko-KR"/>
              </w:rPr>
              <w:t>SL sub-carrier spacing (SCS)</w:t>
            </w:r>
          </w:p>
          <w:p>
            <w:pPr>
              <w:pStyle w:val="50"/>
              <w:widowControl w:val="0"/>
              <w:numPr>
                <w:ilvl w:val="2"/>
                <w:numId w:val="6"/>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sz w:val="20"/>
                <w:szCs w:val="20"/>
                <w:lang w:eastAsia="ko-KR"/>
              </w:rPr>
              <w:t>30 kHz SCS for FR1</w:t>
            </w:r>
          </w:p>
          <w:p>
            <w:pPr>
              <w:pStyle w:val="50"/>
              <w:widowControl w:val="0"/>
              <w:numPr>
                <w:ilvl w:val="1"/>
                <w:numId w:val="6"/>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sz w:val="20"/>
                <w:szCs w:val="20"/>
                <w:lang w:eastAsia="ko-KR"/>
              </w:rPr>
              <w:t>SL BWP size</w:t>
            </w:r>
          </w:p>
          <w:p>
            <w:pPr>
              <w:pStyle w:val="50"/>
              <w:widowControl w:val="0"/>
              <w:numPr>
                <w:ilvl w:val="2"/>
                <w:numId w:val="6"/>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sz w:val="20"/>
                <w:szCs w:val="20"/>
                <w:lang w:eastAsia="ko-KR"/>
              </w:rPr>
              <w:t>100 MHz for FR1</w:t>
            </w:r>
          </w:p>
          <w:p>
            <w:pPr>
              <w:pStyle w:val="50"/>
              <w:widowControl w:val="0"/>
              <w:numPr>
                <w:ilvl w:val="1"/>
                <w:numId w:val="6"/>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sz w:val="20"/>
                <w:szCs w:val="20"/>
                <w:lang w:eastAsia="ko-KR"/>
              </w:rPr>
              <w:t>2 OFDM symbols for PSCCH (excluding AGC symbol)</w:t>
            </w:r>
          </w:p>
          <w:p>
            <w:pPr>
              <w:pStyle w:val="50"/>
              <w:widowControl w:val="0"/>
              <w:numPr>
                <w:ilvl w:val="1"/>
                <w:numId w:val="6"/>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sz w:val="20"/>
                <w:szCs w:val="20"/>
                <w:lang w:eastAsia="ko-KR"/>
              </w:rPr>
              <w:t>TX antenna  port (AP)</w:t>
            </w:r>
          </w:p>
          <w:p>
            <w:pPr>
              <w:pStyle w:val="50"/>
              <w:widowControl w:val="0"/>
              <w:numPr>
                <w:ilvl w:val="2"/>
                <w:numId w:val="6"/>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sz w:val="20"/>
                <w:szCs w:val="20"/>
                <w:lang w:eastAsia="ko-KR"/>
              </w:rPr>
              <w:t>1 TX AP for FR1</w:t>
            </w:r>
          </w:p>
          <w:p>
            <w:pPr>
              <w:pStyle w:val="50"/>
              <w:widowControl w:val="0"/>
              <w:numPr>
                <w:ilvl w:val="1"/>
                <w:numId w:val="6"/>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sz w:val="20"/>
                <w:szCs w:val="20"/>
                <w:lang w:eastAsia="ko-KR"/>
              </w:rPr>
              <w:t>RX AP</w:t>
            </w:r>
          </w:p>
          <w:p>
            <w:pPr>
              <w:pStyle w:val="50"/>
              <w:widowControl w:val="0"/>
              <w:numPr>
                <w:ilvl w:val="2"/>
                <w:numId w:val="6"/>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sz w:val="20"/>
                <w:szCs w:val="20"/>
                <w:lang w:eastAsia="ko-KR"/>
              </w:rPr>
              <w:t>4 RX APs for FR1</w:t>
            </w:r>
          </w:p>
          <w:p>
            <w:pPr>
              <w:pStyle w:val="50"/>
              <w:widowControl w:val="0"/>
              <w:numPr>
                <w:ilvl w:val="1"/>
                <w:numId w:val="6"/>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sz w:val="20"/>
                <w:szCs w:val="20"/>
                <w:lang w:eastAsia="ko-KR"/>
              </w:rPr>
              <w:t>TX power of {0 dBm, 23 dBm} for FR1 </w:t>
            </w:r>
          </w:p>
          <w:p>
            <w:pPr>
              <w:pStyle w:val="50"/>
              <w:widowControl w:val="0"/>
              <w:numPr>
                <w:ilvl w:val="0"/>
                <w:numId w:val="6"/>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sz w:val="20"/>
                <w:szCs w:val="20"/>
                <w:lang w:eastAsia="ko-KR"/>
              </w:rPr>
              <w:t>Note that FR2 is not precluded as an optional/additional reference configuration, and companies are encouraged to provide power consumption model for FR2.</w:t>
            </w:r>
          </w:p>
          <w:p>
            <w:pPr>
              <w:pStyle w:val="50"/>
              <w:widowControl w:val="0"/>
              <w:numPr>
                <w:ilvl w:val="0"/>
                <w:numId w:val="6"/>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sz w:val="20"/>
                <w:szCs w:val="20"/>
                <w:lang w:eastAsia="ko-KR"/>
              </w:rPr>
              <w:t>Note that 15 kHz SCS is not precluded as an optional/additional reference configuration, and companies are encouraged to provide power consumption model for 15 kHz SCS.</w:t>
            </w:r>
          </w:p>
          <w:p>
            <w:pPr>
              <w:widowControl w:val="0"/>
              <w:spacing w:before="120" w:after="120"/>
            </w:pPr>
            <w:r>
              <w:rPr>
                <w:highlight w:val="green"/>
              </w:rPr>
              <w:t>Agreements:</w:t>
            </w:r>
          </w:p>
          <w:p>
            <w:pPr>
              <w:pStyle w:val="50"/>
              <w:widowControl w:val="0"/>
              <w:numPr>
                <w:ilvl w:val="0"/>
                <w:numId w:val="7"/>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sz w:val="20"/>
                <w:szCs w:val="20"/>
                <w:lang w:eastAsia="ko-KR"/>
              </w:rPr>
              <w:t>For evaluation, the followings are baseline</w:t>
            </w:r>
          </w:p>
          <w:p>
            <w:pPr>
              <w:pStyle w:val="50"/>
              <w:widowControl w:val="0"/>
              <w:numPr>
                <w:ilvl w:val="1"/>
                <w:numId w:val="7"/>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sz w:val="20"/>
                <w:szCs w:val="20"/>
                <w:lang w:eastAsia="ko-KR"/>
              </w:rPr>
              <w:t xml:space="preserve">2 RX APs </w:t>
            </w:r>
          </w:p>
          <w:p>
            <w:pPr>
              <w:pStyle w:val="50"/>
              <w:widowControl w:val="0"/>
              <w:numPr>
                <w:ilvl w:val="1"/>
                <w:numId w:val="7"/>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sz w:val="20"/>
                <w:szCs w:val="20"/>
                <w:lang w:eastAsia="ko-KR"/>
              </w:rPr>
              <w:t>1 TX AP</w:t>
            </w:r>
          </w:p>
          <w:p>
            <w:pPr>
              <w:pStyle w:val="50"/>
              <w:widowControl w:val="0"/>
              <w:numPr>
                <w:ilvl w:val="1"/>
                <w:numId w:val="7"/>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sz w:val="20"/>
                <w:szCs w:val="20"/>
                <w:lang w:eastAsia="ko-KR"/>
              </w:rPr>
              <w:t xml:space="preserve">40 MHz for SL BWP size </w:t>
            </w:r>
          </w:p>
          <w:p>
            <w:pPr>
              <w:pStyle w:val="50"/>
              <w:widowControl w:val="0"/>
              <w:numPr>
                <w:ilvl w:val="0"/>
                <w:numId w:val="7"/>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sz w:val="20"/>
                <w:szCs w:val="20"/>
                <w:lang w:eastAsia="ko-KR"/>
              </w:rPr>
              <w:t xml:space="preserve">Note that parameters or cases other than baseline is not precluded for evaluation, and companies are encouraged to provide the assumptions in details. </w:t>
            </w:r>
          </w:p>
          <w:p>
            <w:pPr>
              <w:widowControl w:val="0"/>
              <w:spacing w:before="120" w:after="120"/>
            </w:pPr>
            <w:r>
              <w:rPr>
                <w:highlight w:val="green"/>
              </w:rPr>
              <w:t>Agreements:</w:t>
            </w:r>
          </w:p>
          <w:p>
            <w:pPr>
              <w:pStyle w:val="50"/>
              <w:widowControl w:val="0"/>
              <w:numPr>
                <w:ilvl w:val="0"/>
                <w:numId w:val="8"/>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sz w:val="20"/>
                <w:szCs w:val="20"/>
                <w:lang w:eastAsia="ko-KR"/>
              </w:rPr>
              <w:t xml:space="preserve">For power consumption scaling for adaptation, </w:t>
            </w:r>
          </w:p>
          <w:p>
            <w:pPr>
              <w:pStyle w:val="50"/>
              <w:widowControl w:val="0"/>
              <w:numPr>
                <w:ilvl w:val="1"/>
                <w:numId w:val="8"/>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sz w:val="20"/>
                <w:szCs w:val="20"/>
                <w:lang w:eastAsia="ko-KR"/>
              </w:rPr>
              <w:t>(</w:t>
            </w:r>
            <w:r>
              <w:rPr>
                <w:rFonts w:ascii="Times New Roman" w:hAnsi="Times New Roman" w:eastAsia="Gulim" w:cs="Times New Roman"/>
                <w:sz w:val="20"/>
                <w:szCs w:val="20"/>
                <w:highlight w:val="darkYellow"/>
                <w:lang w:eastAsia="ko-KR"/>
              </w:rPr>
              <w:t>Working assumption</w:t>
            </w:r>
            <w:r>
              <w:rPr>
                <w:rFonts w:ascii="Times New Roman" w:hAnsi="Times New Roman" w:eastAsia="Gulim" w:cs="Times New Roman"/>
                <w:sz w:val="20"/>
                <w:szCs w:val="20"/>
                <w:lang w:eastAsia="ko-KR"/>
              </w:rPr>
              <w:t>) Scaling of SL BWP size adaptation in RX perspective</w:t>
            </w:r>
          </w:p>
          <w:p>
            <w:pPr>
              <w:pStyle w:val="50"/>
              <w:widowControl w:val="0"/>
              <w:numPr>
                <w:ilvl w:val="2"/>
                <w:numId w:val="8"/>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sz w:val="20"/>
                <w:szCs w:val="20"/>
                <w:lang w:eastAsia="ko-KR"/>
              </w:rPr>
              <w:t>X MHz is (0.4 +0.6*(X-20)/80)*100 MHz</w:t>
            </w:r>
          </w:p>
          <w:p>
            <w:pPr>
              <w:pStyle w:val="50"/>
              <w:widowControl w:val="0"/>
              <w:numPr>
                <w:ilvl w:val="1"/>
                <w:numId w:val="8"/>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sz w:val="20"/>
                <w:szCs w:val="20"/>
                <w:lang w:eastAsia="ko-KR"/>
              </w:rPr>
              <w:t>Scaling for SL BWP size adaptation in TX perspective</w:t>
            </w:r>
          </w:p>
          <w:p>
            <w:pPr>
              <w:pStyle w:val="50"/>
              <w:widowControl w:val="0"/>
              <w:numPr>
                <w:ilvl w:val="2"/>
                <w:numId w:val="8"/>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sz w:val="20"/>
                <w:szCs w:val="20"/>
                <w:lang w:eastAsia="ko-KR"/>
              </w:rPr>
              <w:t>No scaling</w:t>
            </w:r>
          </w:p>
          <w:p>
            <w:pPr>
              <w:pStyle w:val="50"/>
              <w:widowControl w:val="0"/>
              <w:numPr>
                <w:ilvl w:val="1"/>
                <w:numId w:val="8"/>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sz w:val="20"/>
                <w:szCs w:val="20"/>
                <w:lang w:eastAsia="ko-KR"/>
              </w:rPr>
              <w:t>Scaling for RX AP adaptation for FR 1</w:t>
            </w:r>
          </w:p>
          <w:p>
            <w:pPr>
              <w:pStyle w:val="50"/>
              <w:widowControl w:val="0"/>
              <w:numPr>
                <w:ilvl w:val="2"/>
                <w:numId w:val="8"/>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sz w:val="20"/>
                <w:szCs w:val="20"/>
                <w:lang w:eastAsia="ko-KR"/>
              </w:rPr>
              <w:t>2 RX is 0.7*4 Rx power</w:t>
            </w:r>
          </w:p>
          <w:p>
            <w:pPr>
              <w:pStyle w:val="50"/>
              <w:widowControl w:val="0"/>
              <w:numPr>
                <w:ilvl w:val="0"/>
                <w:numId w:val="8"/>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sz w:val="20"/>
                <w:szCs w:val="20"/>
                <w:lang w:eastAsia="ko-KR"/>
              </w:rPr>
              <w:t xml:space="preserve">Note that scaling for adaptation on other parameters is not precluded for power consumption model, and companies are encouraged to provide the assumptions in details. </w:t>
            </w:r>
          </w:p>
          <w:p>
            <w:pPr>
              <w:widowControl w:val="0"/>
              <w:spacing w:before="120" w:after="120"/>
            </w:pPr>
            <w:r>
              <w:rPr>
                <w:highlight w:val="green"/>
              </w:rPr>
              <w:t>Agreements:</w:t>
            </w:r>
          </w:p>
          <w:p>
            <w:pPr>
              <w:pStyle w:val="50"/>
              <w:widowControl w:val="0"/>
              <w:numPr>
                <w:ilvl w:val="0"/>
                <w:numId w:val="9"/>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sz w:val="20"/>
                <w:szCs w:val="20"/>
                <w:lang w:eastAsia="ko-KR"/>
              </w:rPr>
              <w:t>For power consumption level,</w:t>
            </w:r>
          </w:p>
          <w:p>
            <w:pPr>
              <w:pStyle w:val="50"/>
              <w:widowControl w:val="0"/>
              <w:numPr>
                <w:ilvl w:val="1"/>
                <w:numId w:val="9"/>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sz w:val="20"/>
                <w:szCs w:val="20"/>
                <w:lang w:eastAsia="ko-KR"/>
              </w:rPr>
              <w:t>Reuse three states of “Sleep” specified in TR38.840 including transition time</w:t>
            </w:r>
            <w:r>
              <w:rPr>
                <w:rFonts w:ascii="Times New Roman" w:hAnsi="Times New Roman" w:eastAsia="Gulim" w:cs="Times New Roman"/>
                <w:color w:val="1F497D"/>
                <w:sz w:val="20"/>
                <w:szCs w:val="20"/>
                <w:lang w:eastAsia="ko-KR"/>
              </w:rPr>
              <w:t>/</w:t>
            </w:r>
            <w:r>
              <w:rPr>
                <w:rFonts w:ascii="Times New Roman" w:hAnsi="Times New Roman" w:eastAsia="Gulim" w:cs="Times New Roman"/>
                <w:sz w:val="20"/>
                <w:szCs w:val="20"/>
                <w:lang w:eastAsia="ko-KR"/>
              </w:rPr>
              <w:t>energy consumption</w:t>
            </w:r>
          </w:p>
          <w:p>
            <w:pPr>
              <w:pStyle w:val="50"/>
              <w:widowControl w:val="0"/>
              <w:numPr>
                <w:ilvl w:val="1"/>
                <w:numId w:val="9"/>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sz w:val="20"/>
                <w:szCs w:val="20"/>
                <w:lang w:eastAsia="ko-KR"/>
              </w:rPr>
              <w:t>(</w:t>
            </w:r>
            <w:r>
              <w:rPr>
                <w:rFonts w:ascii="Times New Roman" w:hAnsi="Times New Roman" w:eastAsia="Gulim" w:cs="Times New Roman"/>
                <w:sz w:val="20"/>
                <w:szCs w:val="20"/>
                <w:highlight w:val="darkYellow"/>
                <w:lang w:eastAsia="ko-KR"/>
              </w:rPr>
              <w:t>Working assumption</w:t>
            </w:r>
            <w:r>
              <w:rPr>
                <w:rFonts w:ascii="Times New Roman" w:hAnsi="Times New Roman" w:eastAsia="Gulim" w:cs="Times New Roman"/>
                <w:sz w:val="20"/>
                <w:szCs w:val="20"/>
                <w:lang w:eastAsia="ko-KR"/>
              </w:rPr>
              <w:t>) For “PSCCH/PSSCH RX”,</w:t>
            </w:r>
          </w:p>
          <w:p>
            <w:pPr>
              <w:pStyle w:val="50"/>
              <w:widowControl w:val="0"/>
              <w:numPr>
                <w:ilvl w:val="2"/>
                <w:numId w:val="9"/>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sz w:val="20"/>
                <w:szCs w:val="20"/>
                <w:lang w:eastAsia="ko-KR"/>
              </w:rPr>
              <w:t xml:space="preserve">In non-PSFCH-slot (i.e., the number of PSCCH/PSSCH symbols is 13), </w:t>
            </w:r>
          </w:p>
          <w:p>
            <w:pPr>
              <w:pStyle w:val="50"/>
              <w:widowControl w:val="0"/>
              <w:numPr>
                <w:ilvl w:val="3"/>
                <w:numId w:val="9"/>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sz w:val="20"/>
                <w:szCs w:val="20"/>
                <w:lang w:eastAsia="ko-KR"/>
              </w:rPr>
              <w:t>the power consumption level is the same as that of “PDCCH+PDSCH”</w:t>
            </w:r>
          </w:p>
          <w:p>
            <w:pPr>
              <w:pStyle w:val="50"/>
              <w:widowControl w:val="0"/>
              <w:numPr>
                <w:ilvl w:val="1"/>
                <w:numId w:val="9"/>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sz w:val="20"/>
                <w:szCs w:val="20"/>
                <w:lang w:eastAsia="ko-KR"/>
              </w:rPr>
              <w:t xml:space="preserve">For power consumption level of “PSCCH/PSSCH TX” </w:t>
            </w:r>
          </w:p>
          <w:p>
            <w:pPr>
              <w:pStyle w:val="50"/>
              <w:widowControl w:val="0"/>
              <w:numPr>
                <w:ilvl w:val="2"/>
                <w:numId w:val="9"/>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sz w:val="20"/>
                <w:szCs w:val="20"/>
                <w:lang w:eastAsia="ko-KR"/>
              </w:rPr>
              <w:t xml:space="preserve">In non-PSFCH-slot (i.e. the number of PSCCH/PSSCH symbols is 13), </w:t>
            </w:r>
          </w:p>
          <w:p>
            <w:pPr>
              <w:pStyle w:val="50"/>
              <w:widowControl w:val="0"/>
              <w:numPr>
                <w:ilvl w:val="3"/>
                <w:numId w:val="9"/>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sz w:val="20"/>
                <w:szCs w:val="20"/>
                <w:lang w:eastAsia="ko-KR"/>
              </w:rPr>
              <w:t>the power consumption level is the same as that of “UL” for long PUCCH or PUSCH</w:t>
            </w:r>
          </w:p>
          <w:p>
            <w:pPr>
              <w:pStyle w:val="50"/>
              <w:widowControl w:val="0"/>
              <w:numPr>
                <w:ilvl w:val="1"/>
                <w:numId w:val="9"/>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sz w:val="20"/>
                <w:szCs w:val="20"/>
                <w:lang w:eastAsia="ko-KR"/>
              </w:rPr>
              <w:t xml:space="preserve">For power consumption level of “1st SCI/2nd SCI RX”, </w:t>
            </w:r>
          </w:p>
          <w:p>
            <w:pPr>
              <w:pStyle w:val="50"/>
              <w:widowControl w:val="0"/>
              <w:numPr>
                <w:ilvl w:val="2"/>
                <w:numId w:val="9"/>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sz w:val="20"/>
                <w:szCs w:val="20"/>
                <w:lang w:eastAsia="ko-KR"/>
              </w:rPr>
              <w:t>the power consumption level is [0.7]* power consumption level of “PSCCH/PSSCH RX”</w:t>
            </w:r>
          </w:p>
          <w:p>
            <w:pPr>
              <w:pStyle w:val="50"/>
              <w:widowControl w:val="0"/>
              <w:numPr>
                <w:ilvl w:val="1"/>
                <w:numId w:val="9"/>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sz w:val="20"/>
                <w:szCs w:val="20"/>
                <w:lang w:eastAsia="ko-KR"/>
              </w:rPr>
              <w:t xml:space="preserve">For power consumption level of “PSFCH TX”, </w:t>
            </w:r>
          </w:p>
          <w:p>
            <w:pPr>
              <w:pStyle w:val="50"/>
              <w:widowControl w:val="0"/>
              <w:numPr>
                <w:ilvl w:val="2"/>
                <w:numId w:val="9"/>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sz w:val="20"/>
                <w:szCs w:val="20"/>
                <w:lang w:eastAsia="ko-KR"/>
              </w:rPr>
              <w:t>the power consumption level is [0.3]*power consumption level of “UL” for long PUCCH or PUSCH</w:t>
            </w:r>
          </w:p>
          <w:p>
            <w:pPr>
              <w:pStyle w:val="50"/>
              <w:widowControl w:val="0"/>
              <w:numPr>
                <w:ilvl w:val="1"/>
                <w:numId w:val="9"/>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sz w:val="20"/>
                <w:szCs w:val="20"/>
                <w:lang w:eastAsia="ko-KR"/>
              </w:rPr>
              <w:t>(</w:t>
            </w:r>
            <w:r>
              <w:rPr>
                <w:rFonts w:ascii="Times New Roman" w:hAnsi="Times New Roman" w:eastAsia="Gulim" w:cs="Times New Roman"/>
                <w:sz w:val="20"/>
                <w:szCs w:val="20"/>
                <w:highlight w:val="darkYellow"/>
                <w:lang w:eastAsia="ko-KR"/>
              </w:rPr>
              <w:t>Working assumption</w:t>
            </w:r>
            <w:r>
              <w:rPr>
                <w:rFonts w:ascii="Times New Roman" w:hAnsi="Times New Roman" w:eastAsia="Gulim" w:cs="Times New Roman"/>
                <w:sz w:val="20"/>
                <w:szCs w:val="20"/>
                <w:lang w:eastAsia="ko-KR"/>
              </w:rPr>
              <w:t xml:space="preserve">) For power consumption level of “PSFCH RX”, </w:t>
            </w:r>
          </w:p>
          <w:p>
            <w:pPr>
              <w:pStyle w:val="50"/>
              <w:widowControl w:val="0"/>
              <w:numPr>
                <w:ilvl w:val="2"/>
                <w:numId w:val="9"/>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sz w:val="20"/>
                <w:szCs w:val="20"/>
                <w:lang w:eastAsia="ko-KR"/>
              </w:rPr>
              <w:t>the power consumption level is power consumption level of “PDCCH-only” for cross-slot scheduling</w:t>
            </w:r>
          </w:p>
          <w:p>
            <w:pPr>
              <w:pStyle w:val="50"/>
              <w:widowControl w:val="0"/>
              <w:numPr>
                <w:ilvl w:val="1"/>
                <w:numId w:val="9"/>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sz w:val="20"/>
                <w:szCs w:val="20"/>
                <w:lang w:eastAsia="ko-KR"/>
              </w:rPr>
              <w:t xml:space="preserve">For power consumption level of “S-SSB TX” (in 13 symbol duration), </w:t>
            </w:r>
          </w:p>
          <w:p>
            <w:pPr>
              <w:pStyle w:val="50"/>
              <w:widowControl w:val="0"/>
              <w:numPr>
                <w:ilvl w:val="2"/>
                <w:numId w:val="9"/>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color w:val="1F497D"/>
                <w:sz w:val="20"/>
                <w:szCs w:val="20"/>
                <w:lang w:eastAsia="ko-KR"/>
              </w:rPr>
              <w:t>t</w:t>
            </w:r>
            <w:r>
              <w:rPr>
                <w:rFonts w:ascii="Times New Roman" w:hAnsi="Times New Roman" w:eastAsia="Gulim" w:cs="Times New Roman"/>
                <w:sz w:val="20"/>
                <w:szCs w:val="20"/>
                <w:lang w:eastAsia="ko-KR"/>
              </w:rPr>
              <w:t>he power consumption level is the same as power consumption level of “UL” for (long PUCCH or PUSCH)</w:t>
            </w:r>
          </w:p>
          <w:p>
            <w:pPr>
              <w:pStyle w:val="50"/>
              <w:widowControl w:val="0"/>
              <w:numPr>
                <w:ilvl w:val="1"/>
                <w:numId w:val="9"/>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sz w:val="20"/>
                <w:szCs w:val="20"/>
                <w:lang w:eastAsia="ko-KR"/>
              </w:rPr>
              <w:t xml:space="preserve">For power consumption level of “S-SSB RX”, </w:t>
            </w:r>
          </w:p>
          <w:p>
            <w:pPr>
              <w:pStyle w:val="50"/>
              <w:widowControl w:val="0"/>
              <w:numPr>
                <w:ilvl w:val="2"/>
                <w:numId w:val="9"/>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sz w:val="20"/>
                <w:szCs w:val="20"/>
                <w:lang w:eastAsia="ko-KR"/>
              </w:rPr>
              <w:t>the power consumption level is [1.5]*power consumption level of “Uu SSB-processing”</w:t>
            </w:r>
          </w:p>
          <w:p>
            <w:pPr>
              <w:pStyle w:val="50"/>
              <w:widowControl w:val="0"/>
              <w:numPr>
                <w:ilvl w:val="1"/>
                <w:numId w:val="9"/>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sz w:val="20"/>
                <w:szCs w:val="20"/>
                <w:lang w:eastAsia="ko-KR"/>
              </w:rPr>
              <w:t xml:space="preserve">The power consumption level of “GNSS-processing” is 8 </w:t>
            </w:r>
          </w:p>
          <w:p>
            <w:pPr>
              <w:pStyle w:val="50"/>
              <w:widowControl w:val="0"/>
              <w:numPr>
                <w:ilvl w:val="1"/>
                <w:numId w:val="9"/>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sz w:val="20"/>
                <w:szCs w:val="20"/>
                <w:lang w:eastAsia="ko-KR"/>
              </w:rPr>
              <w:t>When the synch reference source is gNB, reuse power consumption level of “Uu SSB processing”</w:t>
            </w:r>
          </w:p>
          <w:p>
            <w:pPr>
              <w:pStyle w:val="50"/>
              <w:widowControl w:val="0"/>
              <w:numPr>
                <w:ilvl w:val="1"/>
                <w:numId w:val="9"/>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sz w:val="20"/>
                <w:szCs w:val="20"/>
                <w:lang w:eastAsia="ko-KR"/>
              </w:rPr>
              <w:t>Power consumption level of “SL-CSI-RS processing” is not separately defined</w:t>
            </w:r>
          </w:p>
          <w:p>
            <w:pPr>
              <w:pStyle w:val="50"/>
              <w:widowControl w:val="0"/>
              <w:numPr>
                <w:ilvl w:val="0"/>
                <w:numId w:val="9"/>
              </w:numPr>
              <w:autoSpaceDE w:val="0"/>
              <w:autoSpaceDN w:val="0"/>
              <w:spacing w:before="120" w:after="120"/>
              <w:rPr>
                <w:rFonts w:ascii="Times New Roman" w:hAnsi="Times New Roman" w:eastAsia="Gulim" w:cs="Times New Roman"/>
                <w:sz w:val="20"/>
                <w:szCs w:val="20"/>
                <w:lang w:eastAsia="ko-KR"/>
              </w:rPr>
            </w:pPr>
            <w:r>
              <w:rPr>
                <w:rFonts w:ascii="Times New Roman" w:hAnsi="Times New Roman" w:eastAsia="Gulim" w:cs="Times New Roman"/>
                <w:sz w:val="20"/>
                <w:szCs w:val="20"/>
                <w:lang w:eastAsia="ko-KR"/>
              </w:rPr>
              <w:t>Note that power consumption level of other Power states is not precluded, and companies are encouraged to provide the assumptions in details.</w:t>
            </w:r>
          </w:p>
          <w:p>
            <w:pPr>
              <w:widowControl w:val="0"/>
              <w:spacing w:before="120" w:after="120"/>
            </w:pPr>
            <w:r>
              <w:rPr>
                <w:highlight w:val="green"/>
              </w:rPr>
              <w:t>Agreements:</w:t>
            </w:r>
          </w:p>
          <w:p>
            <w:pPr>
              <w:pStyle w:val="28"/>
              <w:widowControl/>
              <w:numPr>
                <w:ilvl w:val="0"/>
                <w:numId w:val="10"/>
              </w:numPr>
              <w:spacing w:after="120" w:line="260" w:lineRule="auto"/>
              <w:ind w:hanging="363"/>
              <w:rPr>
                <w:sz w:val="20"/>
                <w:szCs w:val="20"/>
                <w:lang w:eastAsia="ko-KR"/>
              </w:rPr>
            </w:pPr>
            <w:r>
              <w:rPr>
                <w:sz w:val="20"/>
                <w:szCs w:val="20"/>
                <w:lang w:eastAsia="ko-KR"/>
              </w:rPr>
              <w:t>For evaluation metric, the followings are considered</w:t>
            </w:r>
          </w:p>
          <w:p>
            <w:pPr>
              <w:pStyle w:val="28"/>
              <w:widowControl/>
              <w:numPr>
                <w:ilvl w:val="1"/>
                <w:numId w:val="10"/>
              </w:numPr>
              <w:spacing w:after="120" w:line="260" w:lineRule="auto"/>
              <w:ind w:hanging="363"/>
              <w:rPr>
                <w:sz w:val="20"/>
                <w:szCs w:val="20"/>
                <w:lang w:eastAsia="ko-KR"/>
              </w:rPr>
            </w:pPr>
            <w:r>
              <w:rPr>
                <w:sz w:val="20"/>
                <w:szCs w:val="20"/>
                <w:lang w:eastAsia="ko-KR"/>
              </w:rPr>
              <w:t>PRR</w:t>
            </w:r>
          </w:p>
          <w:p>
            <w:pPr>
              <w:pStyle w:val="28"/>
              <w:widowControl/>
              <w:numPr>
                <w:ilvl w:val="1"/>
                <w:numId w:val="10"/>
              </w:numPr>
              <w:spacing w:after="120" w:line="260" w:lineRule="auto"/>
              <w:ind w:hanging="363"/>
              <w:rPr>
                <w:sz w:val="20"/>
                <w:szCs w:val="20"/>
                <w:lang w:eastAsia="ko-KR"/>
              </w:rPr>
            </w:pPr>
            <w:r>
              <w:rPr>
                <w:sz w:val="20"/>
                <w:szCs w:val="20"/>
                <w:lang w:eastAsia="ko-KR"/>
              </w:rPr>
              <w:t>PIR</w:t>
            </w:r>
          </w:p>
          <w:p>
            <w:pPr>
              <w:pStyle w:val="28"/>
              <w:widowControl/>
              <w:numPr>
                <w:ilvl w:val="1"/>
                <w:numId w:val="10"/>
              </w:numPr>
              <w:spacing w:after="120" w:line="260" w:lineRule="auto"/>
              <w:ind w:hanging="363"/>
              <w:rPr>
                <w:sz w:val="20"/>
                <w:szCs w:val="20"/>
                <w:lang w:eastAsia="ko-KR"/>
              </w:rPr>
            </w:pPr>
            <w:r>
              <w:rPr>
                <w:sz w:val="20"/>
                <w:szCs w:val="20"/>
                <w:lang w:eastAsia="ko-KR"/>
              </w:rPr>
              <w:t>Power consumption reduction ratio = (power consumption for baseline scheme with Rel-16 Mode 2 resource allocation (i.e. full sensing) - power consumption for proposed scheme)/power consumption for baseline scheme with Rel-16 Mode 2 resource allocation (i.e. full sensing)</w:t>
            </w:r>
          </w:p>
          <w:p>
            <w:pPr>
              <w:pStyle w:val="28"/>
              <w:widowControl/>
              <w:numPr>
                <w:ilvl w:val="0"/>
                <w:numId w:val="10"/>
              </w:numPr>
              <w:spacing w:after="120" w:line="260" w:lineRule="auto"/>
              <w:ind w:hanging="363"/>
              <w:rPr>
                <w:sz w:val="20"/>
                <w:szCs w:val="22"/>
                <w:lang w:eastAsia="ko-KR"/>
              </w:rPr>
            </w:pPr>
            <w:r>
              <w:rPr>
                <w:sz w:val="20"/>
                <w:szCs w:val="20"/>
                <w:lang w:eastAsia="ko-KR"/>
              </w:rPr>
              <w:t>Note that power consumption for baseline scheme with Rel-16 Mode 2 resource allocation (i.e. full sensing) and the power consumption for the proposed scheme are evaluated under the same evaluation assumptions.</w:t>
            </w:r>
          </w:p>
        </w:tc>
      </w:tr>
      <w:bookmarkEnd w:id="38"/>
    </w:tbl>
    <w:p>
      <w:pPr>
        <w:spacing w:before="120" w:after="120"/>
        <w:rPr>
          <w:sz w:val="20"/>
          <w:szCs w:val="22"/>
        </w:rPr>
      </w:pPr>
      <w:r>
        <w:rPr>
          <w:rFonts w:hint="eastAsia"/>
          <w:sz w:val="20"/>
          <w:szCs w:val="22"/>
        </w:rPr>
        <w:t>In this contribution, we will discuss remaining issues for sidelink evaluation methodology for power saving.</w:t>
      </w:r>
    </w:p>
    <w:p>
      <w:pPr>
        <w:pStyle w:val="2"/>
        <w:spacing w:before="120" w:after="120"/>
        <w:ind w:left="0"/>
      </w:pPr>
      <w:r>
        <w:rPr>
          <w:rFonts w:hint="eastAsia"/>
        </w:rPr>
        <w:t>Use cases for sidelink evaluation for power saving</w:t>
      </w:r>
    </w:p>
    <w:p>
      <w:pPr>
        <w:spacing w:before="120" w:after="120"/>
        <w:rPr>
          <w:sz w:val="20"/>
          <w:szCs w:val="22"/>
        </w:rPr>
      </w:pPr>
      <w:r>
        <w:rPr>
          <w:rFonts w:hint="eastAsia"/>
          <w:sz w:val="20"/>
          <w:szCs w:val="22"/>
        </w:rPr>
        <w:t>In RAN #88e meeting, it is concluded that NR sidelink can be enhanced for the V2X, public safety and commercial use cases. Power saving is involved for both V2X and public safety and commercial use cases. Therefore, it is suggested that V2X and public safety and commercial use cases be adopted as evaluation scenarios for power saving. In addition, we believe that the evaluation conclusion for power saving in V2X scenario is usually applicable to public safety and commercial use case. Therefore, it is suggested that V2X scenario is the baseline, and public safety and commercial use case is optional for the evaluation of power saving.</w:t>
      </w:r>
    </w:p>
    <w:p>
      <w:pPr>
        <w:pStyle w:val="23"/>
        <w:spacing w:before="120" w:after="120" w:line="240" w:lineRule="auto"/>
        <w:jc w:val="left"/>
        <w:rPr>
          <w:szCs w:val="22"/>
          <w:lang w:val="en-US" w:eastAsia="zh-CN"/>
        </w:rPr>
      </w:pPr>
      <w:bookmarkStart w:id="0" w:name="_Toc10132"/>
      <w:bookmarkStart w:id="1" w:name="_Toc9299"/>
      <w:r>
        <w:rPr>
          <w:rFonts w:hint="eastAsia"/>
          <w:szCs w:val="22"/>
          <w:lang w:val="en-US" w:eastAsia="zh-CN"/>
        </w:rPr>
        <w:t>V2X</w:t>
      </w:r>
      <w:r>
        <w:rPr>
          <w:szCs w:val="22"/>
        </w:rPr>
        <w:t>,</w:t>
      </w:r>
      <w:r>
        <w:rPr>
          <w:rFonts w:hint="eastAsia"/>
          <w:szCs w:val="22"/>
          <w:lang w:val="en-US" w:eastAsia="zh-CN"/>
        </w:rPr>
        <w:t xml:space="preserve"> public safety and commercial use cases should be adopted for power saving.</w:t>
      </w:r>
      <w:bookmarkEnd w:id="0"/>
      <w:bookmarkEnd w:id="1"/>
    </w:p>
    <w:p>
      <w:pPr>
        <w:pStyle w:val="25"/>
        <w:tabs>
          <w:tab w:val="left" w:pos="420"/>
        </w:tabs>
        <w:spacing w:before="120" w:after="120" w:line="260" w:lineRule="auto"/>
        <w:rPr>
          <w:szCs w:val="22"/>
          <w:lang w:val="en-US" w:eastAsia="zh-CN"/>
        </w:rPr>
      </w:pPr>
      <w:bookmarkStart w:id="2" w:name="_Toc3600"/>
      <w:bookmarkStart w:id="3" w:name="_Toc21282"/>
      <w:r>
        <w:rPr>
          <w:rFonts w:hint="eastAsia"/>
          <w:szCs w:val="22"/>
          <w:lang w:val="en-US" w:eastAsia="zh-CN"/>
        </w:rPr>
        <w:t>V2X scenario is the baseline.</w:t>
      </w:r>
      <w:bookmarkEnd w:id="2"/>
      <w:bookmarkEnd w:id="3"/>
    </w:p>
    <w:p>
      <w:pPr>
        <w:pStyle w:val="25"/>
        <w:tabs>
          <w:tab w:val="left" w:pos="420"/>
        </w:tabs>
        <w:spacing w:before="120" w:after="120" w:line="260" w:lineRule="auto"/>
        <w:rPr>
          <w:szCs w:val="22"/>
          <w:lang w:val="en-US" w:eastAsia="zh-CN"/>
        </w:rPr>
      </w:pPr>
      <w:bookmarkStart w:id="4" w:name="_Toc31792"/>
      <w:bookmarkStart w:id="5" w:name="_Toc14294"/>
      <w:r>
        <w:rPr>
          <w:rFonts w:hint="eastAsia"/>
          <w:szCs w:val="22"/>
          <w:lang w:val="en-US" w:eastAsia="zh-CN"/>
        </w:rPr>
        <w:t>Public safety and commercial use case is optional.</w:t>
      </w:r>
      <w:bookmarkEnd w:id="4"/>
      <w:bookmarkEnd w:id="5"/>
    </w:p>
    <w:p>
      <w:pPr>
        <w:pStyle w:val="2"/>
        <w:pBdr>
          <w:top w:val="none" w:color="auto" w:sz="0" w:space="1"/>
          <w:left w:val="none" w:color="auto" w:sz="0" w:space="4"/>
          <w:bottom w:val="none" w:color="auto" w:sz="0" w:space="1"/>
          <w:right w:val="none" w:color="auto" w:sz="0" w:space="4"/>
        </w:pBdr>
        <w:spacing w:before="120" w:after="120"/>
        <w:ind w:left="0"/>
        <w:rPr>
          <w:szCs w:val="22"/>
        </w:rPr>
      </w:pPr>
      <w:r>
        <w:rPr>
          <w:rFonts w:hint="eastAsia"/>
          <w:szCs w:val="22"/>
        </w:rPr>
        <w:t>Evaluation assumptions for commercial and public safety use cases</w:t>
      </w:r>
    </w:p>
    <w:p>
      <w:pPr>
        <w:spacing w:before="120" w:after="120"/>
        <w:rPr>
          <w:sz w:val="20"/>
          <w:szCs w:val="22"/>
        </w:rPr>
      </w:pPr>
      <w:r>
        <w:rPr>
          <w:rFonts w:hint="eastAsia"/>
          <w:sz w:val="20"/>
          <w:szCs w:val="22"/>
        </w:rPr>
        <w:t xml:space="preserve">In TR 36.843, system simulation assumptions have been defined to evaluate commercial and public safety use </w:t>
      </w:r>
      <w:r>
        <w:rPr>
          <w:sz w:val="20"/>
          <w:szCs w:val="22"/>
        </w:rPr>
        <w:t>c</w:t>
      </w:r>
      <w:r>
        <w:rPr>
          <w:rFonts w:hint="eastAsia"/>
          <w:sz w:val="20"/>
          <w:szCs w:val="22"/>
        </w:rPr>
        <w:t xml:space="preserve">ases. We believe that, excluding the power consumption model, most of the simulation assumptions in TR 36.843 can be reused for sidelink evaluation for power saving in the commercial and public safety use </w:t>
      </w:r>
      <w:r>
        <w:rPr>
          <w:sz w:val="20"/>
          <w:szCs w:val="22"/>
        </w:rPr>
        <w:t>c</w:t>
      </w:r>
      <w:r>
        <w:rPr>
          <w:rFonts w:hint="eastAsia"/>
          <w:sz w:val="20"/>
          <w:szCs w:val="22"/>
        </w:rPr>
        <w:t>ases. For simplicity, it is suggested that evaluation assumptions in TR 36.843 should be reused as much as possible for commercial and public safety use cases. In addition, based on the discussion in section 5, the in-band emission model also needs to be modified.</w:t>
      </w:r>
    </w:p>
    <w:p>
      <w:pPr>
        <w:pStyle w:val="23"/>
        <w:spacing w:before="120" w:after="120" w:line="240" w:lineRule="auto"/>
        <w:jc w:val="left"/>
        <w:rPr>
          <w:szCs w:val="22"/>
          <w:lang w:val="en-US" w:eastAsia="zh-CN"/>
        </w:rPr>
      </w:pPr>
      <w:bookmarkStart w:id="6" w:name="_Toc16016"/>
      <w:bookmarkStart w:id="7" w:name="_Toc30776"/>
      <w:r>
        <w:rPr>
          <w:rFonts w:hint="eastAsia"/>
          <w:szCs w:val="22"/>
          <w:lang w:val="en-US" w:eastAsia="zh-CN"/>
        </w:rPr>
        <w:t>For c</w:t>
      </w:r>
      <w:r>
        <w:rPr>
          <w:szCs w:val="22"/>
          <w:lang w:val="en-US" w:eastAsia="zh-CN"/>
        </w:rPr>
        <w:t>ommercial and public safety use cases</w:t>
      </w:r>
      <w:r>
        <w:rPr>
          <w:rFonts w:hint="eastAsia"/>
          <w:szCs w:val="22"/>
          <w:lang w:val="en-US" w:eastAsia="zh-CN"/>
        </w:rPr>
        <w:t>, evaluation assumptions in TR 36.843 should be reused with the following modification.</w:t>
      </w:r>
      <w:bookmarkEnd w:id="6"/>
      <w:bookmarkEnd w:id="7"/>
    </w:p>
    <w:p>
      <w:pPr>
        <w:pStyle w:val="25"/>
        <w:tabs>
          <w:tab w:val="left" w:pos="420"/>
        </w:tabs>
        <w:spacing w:before="120" w:after="120" w:line="260" w:lineRule="auto"/>
        <w:rPr>
          <w:szCs w:val="22"/>
          <w:lang w:val="en-US" w:eastAsia="zh-CN"/>
        </w:rPr>
      </w:pPr>
      <w:bookmarkStart w:id="8" w:name="_Toc6036"/>
      <w:r>
        <w:rPr>
          <w:rFonts w:hint="eastAsia"/>
          <w:szCs w:val="22"/>
          <w:lang w:val="en-US" w:eastAsia="zh-CN"/>
        </w:rPr>
        <w:t>In-band emission model needs to be modified.</w:t>
      </w:r>
      <w:bookmarkEnd w:id="8"/>
    </w:p>
    <w:p>
      <w:pPr>
        <w:pStyle w:val="2"/>
        <w:pBdr>
          <w:top w:val="none" w:color="auto" w:sz="0" w:space="1"/>
          <w:left w:val="none" w:color="auto" w:sz="0" w:space="4"/>
          <w:bottom w:val="none" w:color="auto" w:sz="0" w:space="1"/>
          <w:right w:val="none" w:color="auto" w:sz="0" w:space="4"/>
        </w:pBdr>
        <w:spacing w:before="120" w:after="120"/>
        <w:ind w:left="0"/>
        <w:rPr>
          <w:szCs w:val="22"/>
        </w:rPr>
      </w:pPr>
      <w:r>
        <w:rPr>
          <w:rFonts w:hint="eastAsia"/>
          <w:szCs w:val="22"/>
        </w:rPr>
        <w:t>Evaluation assumptions for V2X use cases</w:t>
      </w:r>
    </w:p>
    <w:p>
      <w:pPr>
        <w:spacing w:before="120" w:after="120"/>
        <w:rPr>
          <w:sz w:val="20"/>
          <w:szCs w:val="22"/>
        </w:rPr>
      </w:pPr>
      <w:r>
        <w:rPr>
          <w:rFonts w:hint="eastAsia"/>
          <w:sz w:val="20"/>
          <w:szCs w:val="22"/>
        </w:rPr>
        <w:t>For the evaluation of power saving under V2X use cases, the evaluation focuses on the V2P/P2V links in the system level simulation. In the TR 37.885, some system level simulation assumptions are provided for the evaluation for V2P/P2V links. However, not all simulation assumptions can be found in the TR 37.885, and there are some missing simulation assumptions for V2P/P2V evaluation. In this section, we will discuss and give our suggestions for the missing simulation assumptions in the TR 37.885.</w:t>
      </w:r>
    </w:p>
    <w:p>
      <w:pPr>
        <w:pStyle w:val="24"/>
        <w:spacing w:before="120" w:after="120" w:line="240" w:lineRule="auto"/>
        <w:jc w:val="left"/>
        <w:rPr>
          <w:rFonts w:eastAsia="宋体"/>
          <w:iCs w:val="0"/>
          <w:szCs w:val="22"/>
          <w:lang w:val="en-US" w:eastAsia="zh-CN"/>
        </w:rPr>
      </w:pPr>
      <w:bookmarkStart w:id="9" w:name="_Toc24229"/>
      <w:r>
        <w:rPr>
          <w:rFonts w:hint="eastAsia" w:eastAsia="宋体"/>
          <w:iCs w:val="0"/>
          <w:szCs w:val="22"/>
          <w:lang w:val="en-US" w:eastAsia="zh-CN"/>
        </w:rPr>
        <w:t>In TR 37.885, some additional simulation assumptions for V2P/P2V evaluation should be added.</w:t>
      </w:r>
      <w:bookmarkEnd w:id="9"/>
    </w:p>
    <w:p>
      <w:pPr>
        <w:pStyle w:val="23"/>
        <w:spacing w:before="120" w:after="120" w:line="240" w:lineRule="auto"/>
        <w:jc w:val="left"/>
        <w:rPr>
          <w:szCs w:val="22"/>
          <w:lang w:val="en-US" w:eastAsia="zh-CN"/>
        </w:rPr>
      </w:pPr>
      <w:bookmarkStart w:id="10" w:name="_Toc2841"/>
      <w:bookmarkStart w:id="11" w:name="_Toc17906"/>
      <w:r>
        <w:rPr>
          <w:rFonts w:hint="eastAsia"/>
          <w:szCs w:val="22"/>
          <w:lang w:val="en-US" w:eastAsia="zh-CN"/>
        </w:rPr>
        <w:t>For V2P/P2V evaluation, simulation assumptions in TR 37.885 are reused as much as possible.</w:t>
      </w:r>
      <w:bookmarkEnd w:id="10"/>
      <w:bookmarkEnd w:id="11"/>
      <w:r>
        <w:rPr>
          <w:rFonts w:hint="eastAsia"/>
          <w:szCs w:val="22"/>
          <w:lang w:val="en-US" w:eastAsia="zh-CN"/>
        </w:rPr>
        <w:t xml:space="preserve"> </w:t>
      </w:r>
    </w:p>
    <w:p>
      <w:pPr>
        <w:pStyle w:val="3"/>
        <w:spacing w:before="120" w:after="120" w:line="240" w:lineRule="auto"/>
        <w:ind w:left="991" w:right="210" w:hanging="991" w:hangingChars="354"/>
        <w:textAlignment w:val="center"/>
      </w:pPr>
      <w:r>
        <w:rPr>
          <w:rFonts w:hint="eastAsia"/>
        </w:rPr>
        <w:t xml:space="preserve">Traffic model for </w:t>
      </w:r>
      <w:r>
        <w:rPr>
          <w:rFonts w:hint="eastAsia" w:eastAsia="宋体"/>
        </w:rPr>
        <w:t>P2V</w:t>
      </w:r>
    </w:p>
    <w:p>
      <w:pPr>
        <w:spacing w:before="120" w:after="120"/>
        <w:rPr>
          <w:sz w:val="20"/>
          <w:szCs w:val="22"/>
        </w:rPr>
      </w:pPr>
      <w:r>
        <w:rPr>
          <w:sz w:val="20"/>
          <w:szCs w:val="22"/>
        </w:rPr>
        <w:t xml:space="preserve">In </w:t>
      </w:r>
      <w:r>
        <w:rPr>
          <w:rFonts w:hint="eastAsia"/>
          <w:sz w:val="20"/>
          <w:szCs w:val="22"/>
        </w:rPr>
        <w:t>TR 37.885</w:t>
      </w:r>
      <w:r>
        <w:rPr>
          <w:sz w:val="20"/>
          <w:szCs w:val="22"/>
        </w:rPr>
        <w:t xml:space="preserve">, the traffic model of cellular </w:t>
      </w:r>
      <w:r>
        <w:rPr>
          <w:rFonts w:hint="eastAsia"/>
          <w:sz w:val="20"/>
          <w:szCs w:val="22"/>
        </w:rPr>
        <w:t xml:space="preserve">UEs </w:t>
      </w:r>
      <w:r>
        <w:rPr>
          <w:sz w:val="20"/>
          <w:szCs w:val="22"/>
        </w:rPr>
        <w:t xml:space="preserve">and vehicles is defined, but the traffic model for pedestrian </w:t>
      </w:r>
      <w:r>
        <w:rPr>
          <w:rFonts w:hint="eastAsia"/>
          <w:sz w:val="20"/>
          <w:szCs w:val="22"/>
          <w:lang w:eastAsia="ko-KR"/>
        </w:rPr>
        <w:t xml:space="preserve">UEs </w:t>
      </w:r>
      <w:r>
        <w:rPr>
          <w:sz w:val="20"/>
          <w:szCs w:val="22"/>
        </w:rPr>
        <w:t xml:space="preserve">is not found. Based on this, it is </w:t>
      </w:r>
      <w:r>
        <w:rPr>
          <w:rFonts w:hint="eastAsia"/>
          <w:sz w:val="20"/>
          <w:szCs w:val="22"/>
        </w:rPr>
        <w:t xml:space="preserve">suggested </w:t>
      </w:r>
      <w:r>
        <w:rPr>
          <w:sz w:val="20"/>
          <w:szCs w:val="22"/>
        </w:rPr>
        <w:t xml:space="preserve">that the traffic model of pedestrian </w:t>
      </w:r>
      <w:r>
        <w:rPr>
          <w:rFonts w:hint="eastAsia"/>
          <w:sz w:val="20"/>
          <w:szCs w:val="22"/>
          <w:lang w:eastAsia="ko-KR"/>
        </w:rPr>
        <w:t>UEs</w:t>
      </w:r>
      <w:r>
        <w:rPr>
          <w:rFonts w:hint="eastAsia"/>
          <w:sz w:val="20"/>
          <w:szCs w:val="22"/>
        </w:rPr>
        <w:t xml:space="preserve"> </w:t>
      </w:r>
      <w:r>
        <w:rPr>
          <w:sz w:val="20"/>
          <w:szCs w:val="22"/>
        </w:rPr>
        <w:t xml:space="preserve">in 36.885 </w:t>
      </w:r>
      <w:r>
        <w:rPr>
          <w:rFonts w:hint="eastAsia"/>
          <w:sz w:val="20"/>
          <w:szCs w:val="22"/>
        </w:rPr>
        <w:t xml:space="preserve">should </w:t>
      </w:r>
      <w:r>
        <w:rPr>
          <w:sz w:val="20"/>
          <w:szCs w:val="22"/>
        </w:rPr>
        <w:t xml:space="preserve">be adopted for the evaluation </w:t>
      </w:r>
      <w:r>
        <w:rPr>
          <w:rFonts w:hint="eastAsia"/>
          <w:sz w:val="20"/>
          <w:szCs w:val="22"/>
        </w:rPr>
        <w:t xml:space="preserve">of </w:t>
      </w:r>
      <w:r>
        <w:rPr>
          <w:sz w:val="20"/>
          <w:szCs w:val="22"/>
        </w:rPr>
        <w:t xml:space="preserve">P2V. In TR 36.885, </w:t>
      </w:r>
      <w:r>
        <w:rPr>
          <w:rFonts w:hint="eastAsia"/>
          <w:sz w:val="20"/>
          <w:szCs w:val="22"/>
        </w:rPr>
        <w:t>t</w:t>
      </w:r>
      <w:r>
        <w:rPr>
          <w:sz w:val="20"/>
          <w:szCs w:val="22"/>
          <w:lang w:eastAsia="ko-KR"/>
        </w:rPr>
        <w:t xml:space="preserve">raffic model for </w:t>
      </w:r>
      <w:r>
        <w:rPr>
          <w:rFonts w:hint="eastAsia"/>
          <w:sz w:val="20"/>
          <w:szCs w:val="22"/>
          <w:lang w:eastAsia="ko-KR"/>
        </w:rPr>
        <w:t>p</w:t>
      </w:r>
      <w:r>
        <w:rPr>
          <w:sz w:val="20"/>
          <w:szCs w:val="22"/>
          <w:lang w:eastAsia="ko-KR"/>
        </w:rPr>
        <w:t>edestrian UE’s transmission in case of P2V</w:t>
      </w:r>
      <w:r>
        <w:rPr>
          <w:rFonts w:hint="eastAsia"/>
          <w:sz w:val="20"/>
          <w:szCs w:val="22"/>
        </w:rPr>
        <w:t xml:space="preserve"> </w:t>
      </w:r>
      <w:r>
        <w:rPr>
          <w:sz w:val="20"/>
          <w:szCs w:val="22"/>
        </w:rPr>
        <w:t xml:space="preserve">is shown </w:t>
      </w:r>
      <w:r>
        <w:rPr>
          <w:rFonts w:hint="eastAsia"/>
          <w:sz w:val="20"/>
          <w:szCs w:val="22"/>
        </w:rPr>
        <w:t>as foll</w:t>
      </w:r>
      <w:r>
        <w:rPr>
          <w:sz w:val="20"/>
          <w:szCs w:val="22"/>
        </w:rPr>
        <w:t>o</w:t>
      </w:r>
      <w:r>
        <w:rPr>
          <w:rFonts w:hint="eastAsia"/>
          <w:sz w:val="20"/>
          <w:szCs w:val="22"/>
        </w:rPr>
        <w:t>wing</w:t>
      </w:r>
      <w:r>
        <w:rPr>
          <w:sz w:val="20"/>
          <w:szCs w:val="22"/>
        </w:rPr>
        <w:t>.</w:t>
      </w:r>
    </w:p>
    <w:p>
      <w:pPr>
        <w:pStyle w:val="42"/>
        <w:numPr>
          <w:ilvl w:val="0"/>
          <w:numId w:val="11"/>
        </w:numPr>
        <w:spacing w:before="120" w:after="120" w:afterAutospacing="0" w:line="276" w:lineRule="auto"/>
        <w:rPr>
          <w:rFonts w:eastAsia="DengXian"/>
          <w:iCs/>
          <w:sz w:val="20"/>
          <w:szCs w:val="22"/>
          <w:lang w:eastAsia="ko-KR"/>
        </w:rPr>
      </w:pPr>
      <w:r>
        <w:rPr>
          <w:rFonts w:hint="eastAsia" w:eastAsia="DengXian"/>
          <w:iCs/>
          <w:sz w:val="20"/>
          <w:szCs w:val="22"/>
          <w:lang w:eastAsia="ko-KR"/>
        </w:rPr>
        <w:t>The message size is fixed at 300 Bytes and transmission frequency is 1 Hz.</w:t>
      </w:r>
    </w:p>
    <w:p>
      <w:pPr>
        <w:pStyle w:val="42"/>
        <w:numPr>
          <w:ilvl w:val="0"/>
          <w:numId w:val="11"/>
        </w:numPr>
        <w:spacing w:before="120" w:after="120" w:afterAutospacing="0" w:line="276" w:lineRule="auto"/>
        <w:rPr>
          <w:rFonts w:eastAsia="DengXian"/>
          <w:iCs/>
          <w:sz w:val="20"/>
          <w:szCs w:val="22"/>
          <w:lang w:eastAsia="ko-KR"/>
        </w:rPr>
      </w:pPr>
      <w:r>
        <w:rPr>
          <w:rFonts w:hint="eastAsia" w:eastAsia="DengXian"/>
          <w:iCs/>
          <w:sz w:val="20"/>
          <w:szCs w:val="22"/>
          <w:lang w:eastAsia="ko-KR"/>
        </w:rPr>
        <w:t xml:space="preserve">Baseline: ‘100ms’ latency requirement </w:t>
      </w:r>
    </w:p>
    <w:p>
      <w:pPr>
        <w:pStyle w:val="42"/>
        <w:numPr>
          <w:ilvl w:val="0"/>
          <w:numId w:val="11"/>
        </w:numPr>
        <w:spacing w:before="120" w:after="120" w:afterAutospacing="0" w:line="276" w:lineRule="auto"/>
        <w:rPr>
          <w:rFonts w:eastAsia="DengXian"/>
          <w:iCs/>
          <w:sz w:val="20"/>
          <w:szCs w:val="22"/>
        </w:rPr>
      </w:pPr>
      <w:r>
        <w:rPr>
          <w:rFonts w:hint="eastAsia" w:eastAsia="DengXian"/>
          <w:iCs/>
          <w:sz w:val="20"/>
          <w:szCs w:val="22"/>
          <w:lang w:eastAsia="ko-KR"/>
        </w:rPr>
        <w:t>When another value of latency requirement larger than 100ms (e.g., 1000ms) is assumed in the evaluation, companies should explain it.</w:t>
      </w:r>
    </w:p>
    <w:p>
      <w:pPr>
        <w:pStyle w:val="23"/>
        <w:spacing w:before="120" w:after="120" w:line="240" w:lineRule="auto"/>
        <w:jc w:val="left"/>
        <w:rPr>
          <w:szCs w:val="22"/>
          <w:lang w:val="en-US" w:eastAsia="zh-CN"/>
        </w:rPr>
      </w:pPr>
      <w:bookmarkStart w:id="12" w:name="_Toc22510"/>
      <w:bookmarkStart w:id="13" w:name="_Toc11471"/>
      <w:r>
        <w:rPr>
          <w:rFonts w:hint="eastAsia"/>
          <w:szCs w:val="22"/>
          <w:lang w:val="en-US" w:eastAsia="zh-CN"/>
        </w:rPr>
        <w:t>For</w:t>
      </w:r>
      <w:r>
        <w:rPr>
          <w:szCs w:val="22"/>
          <w:lang w:val="en-US" w:eastAsia="zh-CN"/>
        </w:rPr>
        <w:t xml:space="preserve"> P2V</w:t>
      </w:r>
      <w:r>
        <w:rPr>
          <w:rFonts w:hint="eastAsia"/>
          <w:szCs w:val="22"/>
          <w:lang w:val="en-US" w:eastAsia="zh-CN"/>
        </w:rPr>
        <w:t xml:space="preserve"> evaluation, </w:t>
      </w:r>
      <w:r>
        <w:rPr>
          <w:szCs w:val="22"/>
          <w:lang w:val="en-US" w:eastAsia="zh-CN"/>
        </w:rPr>
        <w:t xml:space="preserve">the traffic model of pedestrian </w:t>
      </w:r>
      <w:r>
        <w:rPr>
          <w:rFonts w:hint="eastAsia"/>
          <w:szCs w:val="22"/>
          <w:lang w:val="en-US" w:eastAsia="ko-KR"/>
        </w:rPr>
        <w:t>UEs</w:t>
      </w:r>
      <w:r>
        <w:rPr>
          <w:rFonts w:hint="eastAsia"/>
          <w:szCs w:val="22"/>
          <w:lang w:val="en-US" w:eastAsia="zh-CN"/>
        </w:rPr>
        <w:t xml:space="preserve"> </w:t>
      </w:r>
      <w:r>
        <w:rPr>
          <w:szCs w:val="22"/>
          <w:lang w:val="en-US" w:eastAsia="zh-CN"/>
        </w:rPr>
        <w:t xml:space="preserve">in 36.885 </w:t>
      </w:r>
      <w:r>
        <w:rPr>
          <w:rFonts w:hint="eastAsia"/>
          <w:szCs w:val="22"/>
          <w:lang w:val="en-US" w:eastAsia="zh-CN"/>
        </w:rPr>
        <w:t xml:space="preserve">should </w:t>
      </w:r>
      <w:r>
        <w:rPr>
          <w:szCs w:val="22"/>
          <w:lang w:val="en-US" w:eastAsia="zh-CN"/>
        </w:rPr>
        <w:t>be adopted</w:t>
      </w:r>
      <w:r>
        <w:rPr>
          <w:rFonts w:hint="eastAsia"/>
          <w:szCs w:val="22"/>
          <w:lang w:val="en-US" w:eastAsia="zh-CN"/>
        </w:rPr>
        <w:t>.</w:t>
      </w:r>
      <w:bookmarkEnd w:id="12"/>
      <w:bookmarkEnd w:id="13"/>
    </w:p>
    <w:p>
      <w:pPr>
        <w:pStyle w:val="25"/>
        <w:spacing w:before="120" w:after="120"/>
        <w:rPr>
          <w:lang w:val="en-US" w:eastAsia="zh-CN"/>
        </w:rPr>
      </w:pPr>
      <w:bookmarkStart w:id="14" w:name="_Toc26290"/>
      <w:r>
        <w:rPr>
          <w:rFonts w:hint="eastAsia"/>
          <w:lang w:val="en-US" w:eastAsia="zh-CN"/>
        </w:rPr>
        <w:t>The message size is fixed at 300 Bytes and transmission frequency is 1 Hz.</w:t>
      </w:r>
      <w:bookmarkEnd w:id="14"/>
    </w:p>
    <w:p>
      <w:pPr>
        <w:pStyle w:val="25"/>
        <w:spacing w:before="120" w:after="120"/>
        <w:rPr>
          <w:lang w:val="en-US" w:eastAsia="zh-CN"/>
        </w:rPr>
      </w:pPr>
      <w:bookmarkStart w:id="15" w:name="_Toc22603"/>
      <w:r>
        <w:rPr>
          <w:rFonts w:hint="eastAsia"/>
          <w:lang w:val="en-US" w:eastAsia="zh-CN"/>
        </w:rPr>
        <w:t>Baseli</w:t>
      </w:r>
      <w:r>
        <w:rPr>
          <w:rFonts w:hint="default" w:ascii="Times New Roman" w:hAnsi="Times New Roman" w:cs="Times New Roman"/>
          <w:lang w:val="en-US" w:eastAsia="zh-CN"/>
        </w:rPr>
        <w:t>ne: ‘100ms’ lat</w:t>
      </w:r>
      <w:r>
        <w:rPr>
          <w:rFonts w:hint="eastAsia"/>
          <w:lang w:val="en-US" w:eastAsia="zh-CN"/>
        </w:rPr>
        <w:t>ency requirement</w:t>
      </w:r>
      <w:bookmarkEnd w:id="15"/>
      <w:r>
        <w:rPr>
          <w:rFonts w:hint="eastAsia"/>
          <w:lang w:val="en-US" w:eastAsia="zh-CN"/>
        </w:rPr>
        <w:t xml:space="preserve"> </w:t>
      </w:r>
    </w:p>
    <w:p>
      <w:pPr>
        <w:pStyle w:val="3"/>
        <w:spacing w:before="120" w:after="120" w:line="240" w:lineRule="auto"/>
        <w:ind w:left="991" w:right="210" w:hanging="991" w:hangingChars="354"/>
        <w:textAlignment w:val="center"/>
        <w:rPr>
          <w:szCs w:val="22"/>
        </w:rPr>
      </w:pPr>
      <w:r>
        <w:rPr>
          <w:rFonts w:hint="eastAsia"/>
          <w:szCs w:val="22"/>
        </w:rPr>
        <w:t>Location update for pedestrian UE</w:t>
      </w:r>
    </w:p>
    <w:p>
      <w:pPr>
        <w:spacing w:before="120" w:after="120"/>
        <w:rPr>
          <w:sz w:val="20"/>
          <w:szCs w:val="22"/>
        </w:rPr>
      </w:pPr>
      <w:r>
        <w:rPr>
          <w:rFonts w:hint="eastAsia"/>
          <w:sz w:val="20"/>
          <w:szCs w:val="22"/>
        </w:rPr>
        <w:t>In TR 37.885, it is not described whether/how pedestrian UEs perform position updating. Referring to TR 36.885, it is suggested that location update is not modeled for pedestrian UE.</w:t>
      </w:r>
    </w:p>
    <w:p>
      <w:pPr>
        <w:pStyle w:val="23"/>
        <w:spacing w:before="120" w:after="120" w:line="240" w:lineRule="auto"/>
        <w:jc w:val="left"/>
        <w:rPr>
          <w:szCs w:val="22"/>
          <w:lang w:val="en-US" w:eastAsia="zh-CN"/>
        </w:rPr>
      </w:pPr>
      <w:bookmarkStart w:id="16" w:name="_Toc28864"/>
      <w:bookmarkStart w:id="17" w:name="_Toc1969"/>
      <w:r>
        <w:rPr>
          <w:rFonts w:hint="eastAsia"/>
          <w:szCs w:val="22"/>
          <w:lang w:val="en-US" w:eastAsia="zh-CN"/>
        </w:rPr>
        <w:t>Location update is not modeled for pedestrian UE.</w:t>
      </w:r>
      <w:bookmarkEnd w:id="16"/>
      <w:bookmarkEnd w:id="17"/>
    </w:p>
    <w:p>
      <w:pPr>
        <w:pStyle w:val="3"/>
        <w:spacing w:before="120" w:after="120" w:line="240" w:lineRule="auto"/>
        <w:ind w:left="991" w:right="210" w:hanging="991" w:hangingChars="354"/>
        <w:textAlignment w:val="center"/>
        <w:rPr>
          <w:rFonts w:eastAsiaTheme="minorEastAsia"/>
          <w:szCs w:val="22"/>
        </w:rPr>
      </w:pPr>
      <w:r>
        <w:rPr>
          <w:rFonts w:hint="eastAsia"/>
          <w:szCs w:val="22"/>
        </w:rPr>
        <w:t>Fast fading channel for V2P/P2V link</w:t>
      </w:r>
    </w:p>
    <w:p>
      <w:pPr>
        <w:spacing w:before="120" w:after="120"/>
        <w:rPr>
          <w:sz w:val="20"/>
          <w:szCs w:val="22"/>
        </w:rPr>
      </w:pPr>
      <w:r>
        <w:rPr>
          <w:sz w:val="20"/>
          <w:szCs w:val="22"/>
        </w:rPr>
        <w:t>F</w:t>
      </w:r>
      <w:r>
        <w:rPr>
          <w:sz w:val="20"/>
          <w:szCs w:val="22"/>
          <w:lang w:eastAsia="ko-KR"/>
        </w:rPr>
        <w:t xml:space="preserve">ast fading </w:t>
      </w:r>
      <w:r>
        <w:rPr>
          <w:rFonts w:hint="eastAsia"/>
          <w:sz w:val="20"/>
          <w:szCs w:val="22"/>
          <w:lang w:eastAsia="ko-KR"/>
        </w:rPr>
        <w:t xml:space="preserve">parameters </w:t>
      </w:r>
      <w:r>
        <w:rPr>
          <w:sz w:val="20"/>
          <w:szCs w:val="22"/>
          <w:lang w:eastAsia="ko-KR"/>
        </w:rPr>
        <w:t xml:space="preserve">for </w:t>
      </w:r>
      <w:r>
        <w:rPr>
          <w:rFonts w:hint="eastAsia"/>
          <w:sz w:val="20"/>
          <w:szCs w:val="22"/>
          <w:lang w:eastAsia="ko-KR"/>
        </w:rPr>
        <w:t>V2V link</w:t>
      </w:r>
      <w:r>
        <w:rPr>
          <w:rFonts w:hint="eastAsia"/>
          <w:sz w:val="20"/>
          <w:szCs w:val="22"/>
        </w:rPr>
        <w:t xml:space="preserve"> is defined in </w:t>
      </w:r>
      <w:r>
        <w:rPr>
          <w:rFonts w:hint="eastAsia"/>
          <w:sz w:val="20"/>
          <w:szCs w:val="22"/>
          <w:lang w:eastAsia="ko-KR"/>
        </w:rPr>
        <w:t>Table 6.2.3-1</w:t>
      </w:r>
      <w:r>
        <w:rPr>
          <w:sz w:val="20"/>
          <w:szCs w:val="22"/>
          <w:lang w:eastAsia="ko-KR"/>
        </w:rPr>
        <w:t xml:space="preserve"> </w:t>
      </w:r>
      <w:r>
        <w:rPr>
          <w:sz w:val="20"/>
          <w:szCs w:val="22"/>
        </w:rPr>
        <w:t>i</w:t>
      </w:r>
      <w:r>
        <w:rPr>
          <w:rFonts w:hint="eastAsia"/>
          <w:sz w:val="20"/>
          <w:szCs w:val="22"/>
        </w:rPr>
        <w:t xml:space="preserve">n TR 37.885. Since </w:t>
      </w:r>
      <w:r>
        <w:rPr>
          <w:sz w:val="20"/>
          <w:szCs w:val="22"/>
        </w:rPr>
        <w:t>T</w:t>
      </w:r>
      <w:r>
        <w:rPr>
          <w:rFonts w:hint="eastAsia"/>
          <w:sz w:val="20"/>
          <w:szCs w:val="22"/>
        </w:rPr>
        <w:t xml:space="preserve">able 6.2.3-1 is named as </w:t>
      </w:r>
      <w:r>
        <w:rPr>
          <w:sz w:val="20"/>
          <w:szCs w:val="22"/>
        </w:rPr>
        <w:t>‘</w:t>
      </w:r>
      <w:r>
        <w:rPr>
          <w:rFonts w:hint="eastAsia"/>
          <w:sz w:val="20"/>
          <w:szCs w:val="22"/>
        </w:rPr>
        <w:t>fast fading</w:t>
      </w:r>
      <w:r>
        <w:rPr>
          <w:sz w:val="20"/>
          <w:szCs w:val="22"/>
        </w:rPr>
        <w:t xml:space="preserve"> </w:t>
      </w:r>
      <w:r>
        <w:rPr>
          <w:rFonts w:hint="eastAsia"/>
          <w:sz w:val="20"/>
          <w:szCs w:val="22"/>
        </w:rPr>
        <w:t>parameters for V2V link</w:t>
      </w:r>
      <w:r>
        <w:rPr>
          <w:sz w:val="20"/>
          <w:szCs w:val="22"/>
        </w:rPr>
        <w:t>’</w:t>
      </w:r>
      <w:r>
        <w:rPr>
          <w:rFonts w:hint="eastAsia"/>
          <w:sz w:val="20"/>
          <w:szCs w:val="22"/>
        </w:rPr>
        <w:t>, it means that the fast fading</w:t>
      </w:r>
      <w:r>
        <w:rPr>
          <w:sz w:val="20"/>
          <w:szCs w:val="22"/>
        </w:rPr>
        <w:t xml:space="preserve"> </w:t>
      </w:r>
      <w:r>
        <w:rPr>
          <w:rFonts w:hint="eastAsia"/>
          <w:sz w:val="20"/>
          <w:szCs w:val="22"/>
        </w:rPr>
        <w:t>parameters of V2P/P2V links are not defined in TR 37.885. Given that the wireless channel environment for V2V is similar to that for V2P/P2V, it is suggested that fast fading parameters for V2V link in TR 37.885 is re</w:t>
      </w:r>
      <w:r>
        <w:rPr>
          <w:sz w:val="20"/>
          <w:szCs w:val="22"/>
        </w:rPr>
        <w:t>us</w:t>
      </w:r>
      <w:r>
        <w:rPr>
          <w:rFonts w:hint="eastAsia"/>
          <w:sz w:val="20"/>
          <w:szCs w:val="22"/>
        </w:rPr>
        <w:t>ed for V2P/P2V evaluation. Of course, considering that V2P/P2V only evaluates the urban scenario, only the fast fading parameters for V2V in the urban scenario are reused for evaluation of V2P/V2P.</w:t>
      </w:r>
    </w:p>
    <w:p>
      <w:pPr>
        <w:pStyle w:val="23"/>
        <w:spacing w:before="120" w:after="120" w:line="240" w:lineRule="auto"/>
        <w:rPr>
          <w:szCs w:val="22"/>
          <w:lang w:val="en-US" w:eastAsia="zh-CN"/>
        </w:rPr>
      </w:pPr>
      <w:bookmarkStart w:id="18" w:name="_Toc19151"/>
      <w:bookmarkStart w:id="19" w:name="_Toc1740"/>
      <w:r>
        <w:rPr>
          <w:rFonts w:hint="eastAsia"/>
          <w:szCs w:val="22"/>
          <w:lang w:val="en-US" w:eastAsia="zh-CN"/>
        </w:rPr>
        <w:t>Fast fading parameters for V2V in the urban scenario in TR 37.885 are reused for V2P/P2V evaluation.</w:t>
      </w:r>
      <w:bookmarkEnd w:id="18"/>
      <w:bookmarkEnd w:id="19"/>
    </w:p>
    <w:p>
      <w:pPr>
        <w:pStyle w:val="2"/>
        <w:pBdr>
          <w:top w:val="none" w:color="auto" w:sz="0" w:space="1"/>
          <w:left w:val="none" w:color="auto" w:sz="0" w:space="4"/>
          <w:bottom w:val="none" w:color="auto" w:sz="0" w:space="1"/>
          <w:right w:val="none" w:color="auto" w:sz="0" w:space="4"/>
        </w:pBdr>
        <w:spacing w:before="120" w:after="120"/>
        <w:ind w:left="0"/>
        <w:rPr>
          <w:szCs w:val="22"/>
        </w:rPr>
      </w:pPr>
      <w:r>
        <w:rPr>
          <w:rFonts w:hint="eastAsia"/>
          <w:szCs w:val="22"/>
        </w:rPr>
        <w:t>In</w:t>
      </w:r>
      <w:r>
        <w:rPr>
          <w:szCs w:val="22"/>
        </w:rPr>
        <w:t>-</w:t>
      </w:r>
      <w:r>
        <w:rPr>
          <w:rFonts w:hint="eastAsia"/>
          <w:szCs w:val="22"/>
        </w:rPr>
        <w:t>band emission model</w:t>
      </w:r>
    </w:p>
    <w:p>
      <w:pPr>
        <w:spacing w:before="120" w:after="120"/>
        <w:rPr>
          <w:sz w:val="20"/>
          <w:szCs w:val="22"/>
        </w:rPr>
      </w:pPr>
      <w:r>
        <w:rPr>
          <w:rFonts w:hint="eastAsia"/>
          <w:sz w:val="20"/>
          <w:szCs w:val="22"/>
        </w:rPr>
        <w:t>In the system level simulation of sidelink, in-band emission model should be modeled, whether for power saving evaluation or other evaluation purposes. For public safety and commercial use case, in</w:t>
      </w:r>
      <w:r>
        <w:rPr>
          <w:sz w:val="20"/>
          <w:szCs w:val="22"/>
        </w:rPr>
        <w:t>-</w:t>
      </w:r>
      <w:r>
        <w:rPr>
          <w:rFonts w:hint="eastAsia"/>
          <w:sz w:val="20"/>
          <w:szCs w:val="22"/>
        </w:rPr>
        <w:t>band emission model is defined for public safety and commercial use case in TR 36.843. For the V2X use case, although in</w:t>
      </w:r>
      <w:r>
        <w:rPr>
          <w:sz w:val="20"/>
          <w:szCs w:val="22"/>
        </w:rPr>
        <w:t>-</w:t>
      </w:r>
      <w:r>
        <w:rPr>
          <w:rFonts w:hint="eastAsia"/>
          <w:sz w:val="20"/>
          <w:szCs w:val="22"/>
        </w:rPr>
        <w:t>band emission model for V2X is not defined in TR 37.885, TR 36.885 stated that in</w:t>
      </w:r>
      <w:r>
        <w:rPr>
          <w:sz w:val="20"/>
          <w:szCs w:val="22"/>
        </w:rPr>
        <w:t>-</w:t>
      </w:r>
      <w:r>
        <w:rPr>
          <w:rFonts w:hint="eastAsia"/>
          <w:sz w:val="20"/>
          <w:szCs w:val="22"/>
        </w:rPr>
        <w:t>band emission model in 36.843 is used for V2X evaluation.</w:t>
      </w:r>
    </w:p>
    <w:p>
      <w:pPr>
        <w:spacing w:before="120" w:after="120"/>
        <w:rPr>
          <w:sz w:val="20"/>
          <w:szCs w:val="22"/>
        </w:rPr>
      </w:pPr>
      <w:r>
        <w:rPr>
          <w:rFonts w:hint="eastAsia"/>
          <w:sz w:val="20"/>
          <w:szCs w:val="22"/>
        </w:rPr>
        <w:t>Based on the above descriptions, one solution is to reuse the in</w:t>
      </w:r>
      <w:r>
        <w:rPr>
          <w:sz w:val="20"/>
          <w:szCs w:val="22"/>
        </w:rPr>
        <w:t>-</w:t>
      </w:r>
      <w:r>
        <w:rPr>
          <w:rFonts w:hint="eastAsia"/>
          <w:sz w:val="20"/>
          <w:szCs w:val="22"/>
        </w:rPr>
        <w:t>band emission model in TR 36.843. However, reusing the in</w:t>
      </w:r>
      <w:r>
        <w:rPr>
          <w:sz w:val="20"/>
          <w:szCs w:val="22"/>
        </w:rPr>
        <w:t>-</w:t>
      </w:r>
      <w:r>
        <w:rPr>
          <w:rFonts w:hint="eastAsia"/>
          <w:sz w:val="20"/>
          <w:szCs w:val="22"/>
        </w:rPr>
        <w:t>band emission model in TR 36.843 has the following problems:</w:t>
      </w:r>
    </w:p>
    <w:p>
      <w:pPr>
        <w:pStyle w:val="42"/>
        <w:numPr>
          <w:ilvl w:val="0"/>
          <w:numId w:val="11"/>
        </w:numPr>
        <w:spacing w:before="120" w:after="120" w:afterAutospacing="0" w:line="276" w:lineRule="auto"/>
        <w:rPr>
          <w:rFonts w:eastAsia="DengXian"/>
          <w:iCs/>
          <w:sz w:val="20"/>
          <w:szCs w:val="22"/>
        </w:rPr>
      </w:pPr>
      <w:r>
        <w:rPr>
          <w:rFonts w:hint="eastAsia" w:eastAsia="DengXian"/>
          <w:iCs/>
          <w:sz w:val="20"/>
          <w:szCs w:val="22"/>
        </w:rPr>
        <w:t>In TR 36.843, it is de</w:t>
      </w:r>
      <w:r>
        <w:rPr>
          <w:rFonts w:eastAsia="DengXian"/>
          <w:iCs/>
          <w:sz w:val="20"/>
          <w:szCs w:val="22"/>
        </w:rPr>
        <w:t>s</w:t>
      </w:r>
      <w:r>
        <w:rPr>
          <w:rFonts w:hint="eastAsia" w:eastAsia="DengXian"/>
          <w:iCs/>
          <w:sz w:val="20"/>
          <w:szCs w:val="22"/>
        </w:rPr>
        <w:t>cribed that its in-band emissions should be used for simulation purposes for SC-FDMA waveforms.</w:t>
      </w:r>
    </w:p>
    <w:p>
      <w:pPr>
        <w:pStyle w:val="42"/>
        <w:numPr>
          <w:ilvl w:val="0"/>
          <w:numId w:val="11"/>
        </w:numPr>
        <w:spacing w:before="120" w:after="120" w:afterAutospacing="0" w:line="276" w:lineRule="auto"/>
        <w:rPr>
          <w:rFonts w:eastAsia="DengXian"/>
          <w:iCs/>
          <w:sz w:val="20"/>
          <w:szCs w:val="22"/>
        </w:rPr>
      </w:pPr>
      <w:r>
        <w:rPr>
          <w:rFonts w:hint="eastAsia" w:eastAsia="DengXian"/>
          <w:iCs/>
          <w:sz w:val="20"/>
          <w:szCs w:val="22"/>
        </w:rPr>
        <w:t>It seems that only 15 kHz subcarrier spacing is considered for in-band emission model in TR 36.843.</w:t>
      </w:r>
    </w:p>
    <w:p>
      <w:pPr>
        <w:pStyle w:val="24"/>
        <w:spacing w:before="120" w:after="120" w:line="240" w:lineRule="auto"/>
        <w:jc w:val="left"/>
        <w:rPr>
          <w:rFonts w:eastAsia="DengXian"/>
          <w:iCs w:val="0"/>
          <w:szCs w:val="22"/>
          <w:lang w:val="en-US" w:eastAsia="zh-CN"/>
        </w:rPr>
      </w:pPr>
      <w:bookmarkStart w:id="20" w:name="_Toc847"/>
      <w:r>
        <w:rPr>
          <w:rFonts w:eastAsia="宋体"/>
          <w:iCs w:val="0"/>
          <w:szCs w:val="22"/>
          <w:lang w:val="en-US" w:eastAsia="zh-CN"/>
        </w:rPr>
        <w:t>R</w:t>
      </w:r>
      <w:r>
        <w:rPr>
          <w:rFonts w:hint="eastAsia" w:eastAsia="宋体"/>
          <w:iCs w:val="0"/>
          <w:szCs w:val="22"/>
          <w:lang w:val="en-US" w:eastAsia="zh-CN"/>
        </w:rPr>
        <w:t>e</w:t>
      </w:r>
      <w:r>
        <w:rPr>
          <w:rFonts w:eastAsia="宋体"/>
          <w:iCs w:val="0"/>
          <w:szCs w:val="22"/>
          <w:lang w:val="en-US" w:eastAsia="zh-CN"/>
        </w:rPr>
        <w:t>-</w:t>
      </w:r>
      <w:r>
        <w:rPr>
          <w:rFonts w:hint="eastAsia" w:eastAsia="宋体"/>
          <w:iCs w:val="0"/>
          <w:szCs w:val="22"/>
          <w:lang w:val="en-US" w:eastAsia="zh-CN"/>
        </w:rPr>
        <w:t>using the in</w:t>
      </w:r>
      <w:r>
        <w:rPr>
          <w:rFonts w:eastAsia="宋体"/>
          <w:iCs w:val="0"/>
          <w:szCs w:val="22"/>
          <w:lang w:val="en-US" w:eastAsia="zh-CN"/>
        </w:rPr>
        <w:t>-</w:t>
      </w:r>
      <w:r>
        <w:rPr>
          <w:rFonts w:hint="eastAsia" w:eastAsia="宋体"/>
          <w:iCs w:val="0"/>
          <w:szCs w:val="22"/>
          <w:lang w:val="en-US" w:eastAsia="zh-CN"/>
        </w:rPr>
        <w:t xml:space="preserve">band emission model in TR 36.843 has </w:t>
      </w:r>
      <w:r>
        <w:rPr>
          <w:iCs w:val="0"/>
          <w:szCs w:val="22"/>
          <w:lang w:val="en-US" w:eastAsia="zh-CN"/>
        </w:rPr>
        <w:t>the following</w:t>
      </w:r>
      <w:r>
        <w:rPr>
          <w:rFonts w:hint="eastAsia" w:eastAsia="宋体"/>
          <w:iCs w:val="0"/>
          <w:szCs w:val="22"/>
          <w:lang w:val="en-US" w:eastAsia="zh-CN"/>
        </w:rPr>
        <w:t xml:space="preserve"> problems</w:t>
      </w:r>
      <w:r>
        <w:rPr>
          <w:rFonts w:hint="eastAsia"/>
          <w:iCs w:val="0"/>
          <w:szCs w:val="22"/>
          <w:lang w:val="en-US" w:eastAsia="zh-CN"/>
        </w:rPr>
        <w:t>:</w:t>
      </w:r>
      <w:bookmarkEnd w:id="20"/>
    </w:p>
    <w:p>
      <w:pPr>
        <w:pStyle w:val="26"/>
        <w:spacing w:before="120" w:after="120"/>
      </w:pPr>
      <w:bookmarkStart w:id="21" w:name="_Toc7358"/>
      <w:r>
        <w:rPr>
          <w:rFonts w:hint="eastAsia"/>
        </w:rPr>
        <w:t>In TR 36.843, it is described that its in-band emissions should be used for simulation purposes for SC-FDMA waveforms.</w:t>
      </w:r>
      <w:bookmarkEnd w:id="21"/>
    </w:p>
    <w:p>
      <w:pPr>
        <w:pStyle w:val="26"/>
        <w:spacing w:before="120" w:after="120"/>
      </w:pPr>
      <w:bookmarkStart w:id="22" w:name="_Toc3802"/>
      <w:r>
        <w:rPr>
          <w:rFonts w:hint="eastAsia"/>
        </w:rPr>
        <w:t>Only 15 kHz subcarrier spacing is considered for in-band emission model in TR 36.843.</w:t>
      </w:r>
      <w:bookmarkEnd w:id="22"/>
    </w:p>
    <w:p>
      <w:pPr>
        <w:pStyle w:val="23"/>
        <w:spacing w:before="120" w:after="120" w:line="240" w:lineRule="auto"/>
        <w:jc w:val="left"/>
        <w:rPr>
          <w:lang w:val="en-US" w:eastAsia="zh-CN"/>
        </w:rPr>
      </w:pPr>
      <w:bookmarkStart w:id="23" w:name="_Toc20685"/>
      <w:bookmarkStart w:id="24" w:name="_Toc24483"/>
      <w:r>
        <w:rPr>
          <w:rFonts w:hint="eastAsia"/>
          <w:szCs w:val="22"/>
          <w:lang w:val="en-US" w:eastAsia="zh-CN"/>
        </w:rPr>
        <w:t xml:space="preserve">How </w:t>
      </w:r>
      <w:r>
        <w:rPr>
          <w:rFonts w:hint="eastAsia"/>
          <w:lang w:val="en-US" w:eastAsia="zh-CN"/>
        </w:rPr>
        <w:t>to model in-band emission model should be further discussed for NR sidelink evaluation.</w:t>
      </w:r>
      <w:bookmarkEnd w:id="23"/>
      <w:bookmarkEnd w:id="24"/>
    </w:p>
    <w:p>
      <w:pPr>
        <w:pStyle w:val="2"/>
        <w:pBdr>
          <w:top w:val="none" w:color="auto" w:sz="0" w:space="1"/>
          <w:left w:val="none" w:color="auto" w:sz="0" w:space="4"/>
          <w:bottom w:val="none" w:color="auto" w:sz="0" w:space="1"/>
          <w:right w:val="none" w:color="auto" w:sz="0" w:space="4"/>
        </w:pBdr>
        <w:spacing w:before="120" w:after="120"/>
        <w:ind w:left="0"/>
        <w:rPr>
          <w:rFonts w:eastAsia="宋体"/>
          <w:szCs w:val="22"/>
        </w:rPr>
      </w:pPr>
      <w:r>
        <w:rPr>
          <w:rFonts w:hint="eastAsia"/>
          <w:szCs w:val="22"/>
        </w:rPr>
        <w:t>Power consumption</w:t>
      </w:r>
    </w:p>
    <w:p>
      <w:pPr>
        <w:pStyle w:val="3"/>
        <w:spacing w:before="120" w:after="120" w:line="240" w:lineRule="auto"/>
        <w:ind w:left="991" w:right="210" w:hanging="991" w:hangingChars="354"/>
        <w:textAlignment w:val="center"/>
        <w:rPr>
          <w:rFonts w:eastAsia="宋体"/>
          <w:color w:val="000000" w:themeColor="text1"/>
          <w:szCs w:val="22"/>
          <w14:textFill>
            <w14:solidFill>
              <w14:schemeClr w14:val="tx1"/>
            </w14:solidFill>
          </w14:textFill>
        </w:rPr>
      </w:pPr>
      <w:r>
        <w:rPr>
          <w:rFonts w:hint="eastAsia" w:eastAsia="宋体"/>
          <w:color w:val="000000" w:themeColor="text1"/>
          <w:szCs w:val="22"/>
          <w14:textFill>
            <w14:solidFill>
              <w14:schemeClr w14:val="tx1"/>
            </w14:solidFill>
          </w14:textFill>
        </w:rPr>
        <w:t>Power consumption scaling</w:t>
      </w:r>
    </w:p>
    <w:p>
      <w:pPr>
        <w:spacing w:before="120" w:after="120" w:line="260" w:lineRule="auto"/>
        <w:rPr>
          <w:color w:val="000000" w:themeColor="text1"/>
          <w:sz w:val="20"/>
          <w14:textFill>
            <w14:solidFill>
              <w14:schemeClr w14:val="tx1"/>
            </w14:solidFill>
          </w14:textFill>
        </w:rPr>
      </w:pPr>
      <w:r>
        <w:rPr>
          <w:rFonts w:hint="eastAsia"/>
          <w:color w:val="000000" w:themeColor="text1"/>
          <w:sz w:val="20"/>
          <w14:textFill>
            <w14:solidFill>
              <w14:schemeClr w14:val="tx1"/>
            </w14:solidFill>
          </w14:textFill>
        </w:rPr>
        <w:t>In RAN1 #102-e meeting, the working assumption regarding s</w:t>
      </w:r>
      <w:r>
        <w:rPr>
          <w:rFonts w:hint="eastAsia"/>
          <w:color w:val="000000" w:themeColor="text1"/>
          <w:sz w:val="20"/>
          <w:lang w:eastAsia="ko-KR"/>
          <w14:textFill>
            <w14:solidFill>
              <w14:schemeClr w14:val="tx1"/>
            </w14:solidFill>
          </w14:textFill>
        </w:rPr>
        <w:t>caling of SL BWP size adaptation</w:t>
      </w:r>
      <w:r>
        <w:rPr>
          <w:rFonts w:hint="eastAsia"/>
          <w:color w:val="000000" w:themeColor="text1"/>
          <w:sz w:val="20"/>
          <w14:textFill>
            <w14:solidFill>
              <w14:schemeClr w14:val="tx1"/>
            </w14:solidFill>
          </w14:textFill>
        </w:rPr>
        <w:t xml:space="preserve"> was agreed. We suggest that this working assumption shall be confirmed.</w:t>
      </w:r>
    </w:p>
    <w:p>
      <w:pPr>
        <w:pStyle w:val="23"/>
        <w:spacing w:beforeLines="100" w:after="120"/>
        <w:rPr>
          <w:b/>
          <w:bCs w:val="0"/>
          <w:i/>
          <w:iCs w:val="0"/>
          <w:color w:val="000000" w:themeColor="text1"/>
          <w:szCs w:val="22"/>
          <w:lang w:val="en-US" w:eastAsia="zh-CN"/>
          <w14:textFill>
            <w14:solidFill>
              <w14:schemeClr w14:val="tx1"/>
            </w14:solidFill>
          </w14:textFill>
        </w:rPr>
      </w:pPr>
      <w:bookmarkStart w:id="25" w:name="_Toc47351771"/>
      <w:bookmarkStart w:id="26" w:name="_Toc18181"/>
      <w:r>
        <w:rPr>
          <w:rFonts w:hint="eastAsia"/>
          <w:b/>
          <w:bCs w:val="0"/>
          <w:i/>
          <w:iCs w:val="0"/>
          <w:color w:val="000000" w:themeColor="text1"/>
          <w:szCs w:val="22"/>
          <w:lang w:val="en-US" w:eastAsia="zh-CN"/>
          <w14:textFill>
            <w14:solidFill>
              <w14:schemeClr w14:val="tx1"/>
            </w14:solidFill>
          </w14:textFill>
        </w:rPr>
        <w:t>Confirm the foll</w:t>
      </w:r>
      <w:r>
        <w:rPr>
          <w:b/>
          <w:bCs w:val="0"/>
          <w:i/>
          <w:iCs w:val="0"/>
          <w:color w:val="000000" w:themeColor="text1"/>
          <w:szCs w:val="22"/>
          <w:lang w:val="en-US" w:eastAsia="zh-CN"/>
          <w14:textFill>
            <w14:solidFill>
              <w14:schemeClr w14:val="tx1"/>
            </w14:solidFill>
          </w14:textFill>
        </w:rPr>
        <w:t>o</w:t>
      </w:r>
      <w:r>
        <w:rPr>
          <w:rFonts w:hint="eastAsia"/>
          <w:b/>
          <w:bCs w:val="0"/>
          <w:i/>
          <w:iCs w:val="0"/>
          <w:color w:val="000000" w:themeColor="text1"/>
          <w:szCs w:val="22"/>
          <w:lang w:val="en-US" w:eastAsia="zh-CN"/>
          <w14:textFill>
            <w14:solidFill>
              <w14:schemeClr w14:val="tx1"/>
            </w14:solidFill>
          </w14:textFill>
        </w:rPr>
        <w:t>wing working assumption:</w:t>
      </w:r>
      <w:bookmarkEnd w:id="25"/>
      <w:bookmarkEnd w:id="26"/>
    </w:p>
    <w:p>
      <w:pPr>
        <w:pStyle w:val="50"/>
        <w:widowControl w:val="0"/>
        <w:numPr>
          <w:ilvl w:val="1"/>
          <w:numId w:val="8"/>
        </w:numPr>
        <w:autoSpaceDE w:val="0"/>
        <w:autoSpaceDN w:val="0"/>
        <w:spacing w:before="120" w:after="120" w:line="260" w:lineRule="auto"/>
        <w:ind w:left="783" w:leftChars="200" w:hanging="363"/>
        <w:rPr>
          <w:rFonts w:ascii="Times New Roman" w:hAnsi="Times New Roman" w:eastAsia="Gulim" w:cs="Times New Roman"/>
          <w:b/>
          <w:bCs w:val="0"/>
          <w:i/>
          <w:iCs w:val="0"/>
          <w:color w:val="000000" w:themeColor="text1"/>
          <w:sz w:val="20"/>
          <w:szCs w:val="20"/>
          <w:lang w:eastAsia="ko-KR"/>
          <w14:textFill>
            <w14:solidFill>
              <w14:schemeClr w14:val="tx1"/>
            </w14:solidFill>
          </w14:textFill>
        </w:rPr>
      </w:pPr>
      <w:r>
        <w:rPr>
          <w:rFonts w:ascii="Times New Roman" w:hAnsi="Times New Roman" w:eastAsia="Gulim" w:cs="Times New Roman"/>
          <w:b/>
          <w:bCs w:val="0"/>
          <w:i/>
          <w:iCs w:val="0"/>
          <w:color w:val="000000" w:themeColor="text1"/>
          <w:sz w:val="20"/>
          <w:szCs w:val="20"/>
          <w:lang w:eastAsia="ko-KR"/>
          <w14:textFill>
            <w14:solidFill>
              <w14:schemeClr w14:val="tx1"/>
            </w14:solidFill>
          </w14:textFill>
        </w:rPr>
        <w:t>(</w:t>
      </w:r>
      <w:r>
        <w:rPr>
          <w:rFonts w:ascii="Times New Roman" w:hAnsi="Times New Roman" w:eastAsia="Gulim" w:cs="Times New Roman"/>
          <w:b/>
          <w:bCs w:val="0"/>
          <w:i/>
          <w:iCs w:val="0"/>
          <w:color w:val="000000" w:themeColor="text1"/>
          <w:sz w:val="20"/>
          <w:szCs w:val="20"/>
          <w:highlight w:val="darkYellow"/>
          <w:lang w:eastAsia="ko-KR"/>
          <w14:textFill>
            <w14:solidFill>
              <w14:schemeClr w14:val="tx1"/>
            </w14:solidFill>
          </w14:textFill>
        </w:rPr>
        <w:t>Working assumption</w:t>
      </w:r>
      <w:r>
        <w:rPr>
          <w:rFonts w:ascii="Times New Roman" w:hAnsi="Times New Roman" w:eastAsia="Gulim" w:cs="Times New Roman"/>
          <w:b/>
          <w:bCs w:val="0"/>
          <w:i/>
          <w:iCs w:val="0"/>
          <w:color w:val="000000" w:themeColor="text1"/>
          <w:sz w:val="20"/>
          <w:szCs w:val="20"/>
          <w:lang w:eastAsia="ko-KR"/>
          <w14:textFill>
            <w14:solidFill>
              <w14:schemeClr w14:val="tx1"/>
            </w14:solidFill>
          </w14:textFill>
        </w:rPr>
        <w:t>) Scaling of SL BWP size adaptation in RX perspective</w:t>
      </w:r>
    </w:p>
    <w:p>
      <w:pPr>
        <w:pStyle w:val="50"/>
        <w:numPr>
          <w:ilvl w:val="2"/>
          <w:numId w:val="9"/>
        </w:numPr>
        <w:autoSpaceDE w:val="0"/>
        <w:autoSpaceDN w:val="0"/>
        <w:spacing w:before="120" w:after="120" w:line="260" w:lineRule="auto"/>
        <w:ind w:left="1203" w:leftChars="400" w:hanging="363"/>
        <w:rPr>
          <w:b/>
          <w:bCs w:val="0"/>
          <w:i/>
          <w:iCs w:val="0"/>
          <w:color w:val="000000" w:themeColor="text1"/>
          <w:szCs w:val="22"/>
          <w14:textFill>
            <w14:solidFill>
              <w14:schemeClr w14:val="tx1"/>
            </w14:solidFill>
          </w14:textFill>
        </w:rPr>
      </w:pPr>
      <w:r>
        <w:rPr>
          <w:rFonts w:ascii="Times New Roman" w:hAnsi="Times New Roman" w:eastAsia="Gulim" w:cs="Times New Roman"/>
          <w:b/>
          <w:bCs w:val="0"/>
          <w:i/>
          <w:iCs w:val="0"/>
          <w:color w:val="000000" w:themeColor="text1"/>
          <w:sz w:val="20"/>
          <w:szCs w:val="20"/>
          <w:lang w:eastAsia="ko-KR"/>
          <w14:textFill>
            <w14:solidFill>
              <w14:schemeClr w14:val="tx1"/>
            </w14:solidFill>
          </w14:textFill>
        </w:rPr>
        <w:t>X MHz is (0.4 +0.6*(X-20)/80)*100 MHz</w:t>
      </w:r>
    </w:p>
    <w:p>
      <w:pPr>
        <w:pStyle w:val="3"/>
        <w:spacing w:before="120" w:after="120" w:line="240" w:lineRule="auto"/>
        <w:ind w:left="991" w:right="210" w:hanging="991" w:hangingChars="354"/>
        <w:textAlignment w:val="center"/>
        <w:rPr>
          <w:szCs w:val="22"/>
        </w:rPr>
      </w:pPr>
      <w:r>
        <w:rPr>
          <w:rFonts w:hint="eastAsia" w:eastAsia="宋体"/>
          <w:szCs w:val="22"/>
        </w:rPr>
        <w:t>P</w:t>
      </w:r>
      <w:r>
        <w:rPr>
          <w:rFonts w:hint="eastAsia"/>
          <w:szCs w:val="22"/>
        </w:rPr>
        <w:t xml:space="preserve">ower consumption of target </w:t>
      </w:r>
      <w:r>
        <w:rPr>
          <w:rFonts w:hint="eastAsia" w:eastAsia="宋体"/>
          <w:szCs w:val="22"/>
        </w:rPr>
        <w:t>p</w:t>
      </w:r>
      <w:r>
        <w:rPr>
          <w:rFonts w:hint="eastAsia"/>
          <w:szCs w:val="22"/>
        </w:rPr>
        <w:t xml:space="preserve">ower </w:t>
      </w:r>
      <w:r>
        <w:rPr>
          <w:rFonts w:hint="eastAsia" w:eastAsia="宋体"/>
          <w:szCs w:val="22"/>
        </w:rPr>
        <w:t>s</w:t>
      </w:r>
      <w:r>
        <w:rPr>
          <w:rFonts w:hint="eastAsia"/>
          <w:szCs w:val="22"/>
        </w:rPr>
        <w:t>tate</w:t>
      </w:r>
      <w:r>
        <w:rPr>
          <w:rFonts w:hint="eastAsia" w:eastAsia="宋体"/>
          <w:szCs w:val="22"/>
        </w:rPr>
        <w:t>s</w:t>
      </w:r>
      <w:r>
        <w:rPr>
          <w:rFonts w:hint="eastAsia"/>
          <w:szCs w:val="22"/>
        </w:rPr>
        <w:t xml:space="preserve"> in </w:t>
      </w:r>
      <w:r>
        <w:rPr>
          <w:rFonts w:hint="eastAsia" w:eastAsia="宋体"/>
          <w:szCs w:val="22"/>
        </w:rPr>
        <w:t>non-</w:t>
      </w:r>
      <w:r>
        <w:rPr>
          <w:rFonts w:hint="eastAsia"/>
          <w:szCs w:val="22"/>
        </w:rPr>
        <w:t>PSFCH slot</w:t>
      </w:r>
    </w:p>
    <w:p>
      <w:pPr>
        <w:spacing w:before="120" w:after="120" w:line="260" w:lineRule="auto"/>
        <w:rPr>
          <w:szCs w:val="22"/>
        </w:rPr>
      </w:pPr>
      <w:r>
        <w:rPr>
          <w:rFonts w:hint="eastAsia"/>
          <w:sz w:val="20"/>
        </w:rPr>
        <w:t>F</w:t>
      </w:r>
      <w:r>
        <w:rPr>
          <w:rFonts w:hint="eastAsia"/>
          <w:sz w:val="20"/>
          <w:lang w:eastAsia="ko-KR"/>
        </w:rPr>
        <w:t>or</w:t>
      </w:r>
      <w:r>
        <w:rPr>
          <w:rFonts w:hint="eastAsia"/>
          <w:sz w:val="20"/>
        </w:rPr>
        <w:t xml:space="preserve"> "</w:t>
      </w:r>
      <w:r>
        <w:rPr>
          <w:rFonts w:hint="eastAsia"/>
          <w:sz w:val="20"/>
          <w:lang w:eastAsia="ko-KR"/>
        </w:rPr>
        <w:t>PSCCH/PSSCH RX</w:t>
      </w:r>
      <w:r>
        <w:rPr>
          <w:rFonts w:hint="eastAsia"/>
          <w:sz w:val="20"/>
        </w:rPr>
        <w:t>" i</w:t>
      </w:r>
      <w:r>
        <w:rPr>
          <w:rFonts w:hint="eastAsia"/>
          <w:sz w:val="20"/>
          <w:lang w:eastAsia="ko-KR"/>
        </w:rPr>
        <w:t>n non-PSFCH-slot</w:t>
      </w:r>
      <w:r>
        <w:rPr>
          <w:rFonts w:hint="eastAsia"/>
          <w:sz w:val="20"/>
        </w:rPr>
        <w:t>, in RAN1 #102-e meeting, it is assumed that</w:t>
      </w:r>
      <w:r>
        <w:rPr>
          <w:rFonts w:hint="eastAsia"/>
          <w:sz w:val="20"/>
          <w:lang w:eastAsia="ko-KR"/>
        </w:rPr>
        <w:t xml:space="preserve"> the power consumption level is the same as that of </w:t>
      </w:r>
      <w:r>
        <w:rPr>
          <w:rFonts w:hint="eastAsia"/>
          <w:sz w:val="20"/>
        </w:rPr>
        <w:t>"</w:t>
      </w:r>
      <w:r>
        <w:rPr>
          <w:rFonts w:hint="eastAsia"/>
          <w:sz w:val="20"/>
          <w:lang w:eastAsia="ko-KR"/>
        </w:rPr>
        <w:t>PDCCH+PDSCH</w:t>
      </w:r>
      <w:r>
        <w:rPr>
          <w:rFonts w:hint="eastAsia"/>
          <w:sz w:val="20"/>
        </w:rPr>
        <w:t>". It is suggested to confirm this working assumption.</w:t>
      </w:r>
    </w:p>
    <w:p>
      <w:pPr>
        <w:pStyle w:val="23"/>
        <w:spacing w:beforeLines="100" w:after="120"/>
        <w:rPr>
          <w:szCs w:val="22"/>
          <w:lang w:val="en-US" w:eastAsia="zh-CN"/>
        </w:rPr>
      </w:pPr>
      <w:bookmarkStart w:id="27" w:name="_Toc15794"/>
      <w:r>
        <w:rPr>
          <w:rFonts w:hint="eastAsia"/>
          <w:szCs w:val="22"/>
          <w:lang w:val="en-US" w:eastAsia="zh-CN"/>
        </w:rPr>
        <w:t>Confirm the foll</w:t>
      </w:r>
      <w:r>
        <w:rPr>
          <w:szCs w:val="22"/>
          <w:lang w:val="en-US" w:eastAsia="zh-CN"/>
        </w:rPr>
        <w:t>o</w:t>
      </w:r>
      <w:r>
        <w:rPr>
          <w:rFonts w:hint="eastAsia"/>
          <w:szCs w:val="22"/>
          <w:lang w:val="en-US" w:eastAsia="zh-CN"/>
        </w:rPr>
        <w:t>wing working assumption:</w:t>
      </w:r>
      <w:bookmarkEnd w:id="27"/>
    </w:p>
    <w:p>
      <w:pPr>
        <w:pStyle w:val="50"/>
        <w:numPr>
          <w:ilvl w:val="1"/>
          <w:numId w:val="9"/>
        </w:numPr>
        <w:autoSpaceDE w:val="0"/>
        <w:autoSpaceDN w:val="0"/>
        <w:spacing w:before="120" w:after="120" w:line="260" w:lineRule="auto"/>
        <w:ind w:left="783" w:leftChars="200" w:hanging="363"/>
        <w:rPr>
          <w:rFonts w:ascii="Times New Roman" w:hAnsi="Times New Roman" w:eastAsia="Gulim" w:cs="Times New Roman"/>
          <w:b/>
          <w:bCs/>
          <w:i/>
          <w:iCs/>
          <w:sz w:val="20"/>
          <w:szCs w:val="20"/>
          <w:lang w:eastAsia="ko-KR"/>
        </w:rPr>
      </w:pPr>
      <w:r>
        <w:rPr>
          <w:rFonts w:ascii="Times New Roman" w:hAnsi="Times New Roman" w:eastAsia="Gulim" w:cs="Times New Roman"/>
          <w:b/>
          <w:bCs/>
          <w:i/>
          <w:iCs/>
          <w:sz w:val="20"/>
          <w:szCs w:val="20"/>
          <w:lang w:eastAsia="ko-KR"/>
        </w:rPr>
        <w:t>(</w:t>
      </w:r>
      <w:r>
        <w:rPr>
          <w:rFonts w:ascii="Times New Roman" w:hAnsi="Times New Roman" w:eastAsia="Gulim" w:cs="Times New Roman"/>
          <w:b/>
          <w:bCs/>
          <w:i/>
          <w:iCs/>
          <w:sz w:val="20"/>
          <w:szCs w:val="20"/>
          <w:highlight w:val="darkYellow"/>
          <w:lang w:eastAsia="ko-KR"/>
        </w:rPr>
        <w:t>Working assumption</w:t>
      </w:r>
      <w:r>
        <w:rPr>
          <w:rFonts w:ascii="Times New Roman" w:hAnsi="Times New Roman" w:eastAsia="Gulim" w:cs="Times New Roman"/>
          <w:b/>
          <w:bCs/>
          <w:i/>
          <w:iCs/>
          <w:sz w:val="20"/>
          <w:szCs w:val="20"/>
          <w:lang w:eastAsia="ko-KR"/>
        </w:rPr>
        <w:t>) For “PSCCH/PSSCH RX”,</w:t>
      </w:r>
    </w:p>
    <w:p>
      <w:pPr>
        <w:pStyle w:val="50"/>
        <w:numPr>
          <w:ilvl w:val="2"/>
          <w:numId w:val="9"/>
        </w:numPr>
        <w:autoSpaceDE w:val="0"/>
        <w:autoSpaceDN w:val="0"/>
        <w:spacing w:before="120" w:after="120" w:line="260" w:lineRule="auto"/>
        <w:ind w:left="1203" w:leftChars="400" w:hanging="363"/>
        <w:rPr>
          <w:rFonts w:ascii="Times New Roman" w:hAnsi="Times New Roman" w:eastAsia="Gulim" w:cs="Times New Roman"/>
          <w:b/>
          <w:bCs/>
          <w:i/>
          <w:iCs/>
          <w:sz w:val="20"/>
          <w:szCs w:val="20"/>
          <w:lang w:eastAsia="ko-KR"/>
        </w:rPr>
      </w:pPr>
      <w:r>
        <w:rPr>
          <w:rFonts w:ascii="Times New Roman" w:hAnsi="Times New Roman" w:eastAsia="Gulim" w:cs="Times New Roman"/>
          <w:b/>
          <w:bCs/>
          <w:i/>
          <w:iCs/>
          <w:sz w:val="20"/>
          <w:szCs w:val="20"/>
          <w:lang w:eastAsia="ko-KR"/>
        </w:rPr>
        <w:t xml:space="preserve">In non-PSFCH-slot (i.e., the number of PSCCH/PSSCH symbols is 13), </w:t>
      </w:r>
    </w:p>
    <w:p>
      <w:pPr>
        <w:pStyle w:val="50"/>
        <w:numPr>
          <w:ilvl w:val="3"/>
          <w:numId w:val="9"/>
        </w:numPr>
        <w:autoSpaceDE w:val="0"/>
        <w:autoSpaceDN w:val="0"/>
        <w:spacing w:before="120" w:after="120" w:line="260" w:lineRule="auto"/>
        <w:ind w:left="1623" w:leftChars="600" w:hanging="363"/>
        <w:rPr>
          <w:rFonts w:ascii="Times New Roman" w:hAnsi="Times New Roman" w:eastAsia="Gulim" w:cs="Times New Roman"/>
          <w:b/>
          <w:bCs/>
          <w:i/>
          <w:iCs/>
          <w:sz w:val="20"/>
          <w:szCs w:val="20"/>
          <w:lang w:eastAsia="ko-KR"/>
        </w:rPr>
      </w:pPr>
      <w:r>
        <w:rPr>
          <w:rFonts w:ascii="Times New Roman" w:hAnsi="Times New Roman" w:eastAsia="Gulim" w:cs="Times New Roman"/>
          <w:b/>
          <w:bCs/>
          <w:i/>
          <w:iCs/>
          <w:sz w:val="20"/>
          <w:szCs w:val="20"/>
          <w:lang w:eastAsia="ko-KR"/>
        </w:rPr>
        <w:t>the power consumption level is the same as that of “PDCCH+PDSCH”</w:t>
      </w:r>
    </w:p>
    <w:p>
      <w:pPr>
        <w:pStyle w:val="3"/>
        <w:spacing w:before="120" w:after="120" w:line="240" w:lineRule="auto"/>
        <w:ind w:left="991" w:right="210" w:hanging="991" w:hangingChars="354"/>
        <w:textAlignment w:val="center"/>
        <w:rPr>
          <w:color w:val="000000" w:themeColor="text1"/>
          <w:szCs w:val="22"/>
          <w14:textFill>
            <w14:solidFill>
              <w14:schemeClr w14:val="tx1"/>
            </w14:solidFill>
          </w14:textFill>
        </w:rPr>
      </w:pPr>
      <w:r>
        <w:rPr>
          <w:rFonts w:hint="eastAsia" w:eastAsia="宋体"/>
          <w:color w:val="000000" w:themeColor="text1"/>
          <w:szCs w:val="22"/>
          <w14:textFill>
            <w14:solidFill>
              <w14:schemeClr w14:val="tx1"/>
            </w14:solidFill>
          </w14:textFill>
        </w:rPr>
        <w:t>P</w:t>
      </w:r>
      <w:r>
        <w:rPr>
          <w:rFonts w:hint="eastAsia"/>
          <w:color w:val="000000" w:themeColor="text1"/>
          <w:szCs w:val="22"/>
          <w14:textFill>
            <w14:solidFill>
              <w14:schemeClr w14:val="tx1"/>
            </w14:solidFill>
          </w14:textFill>
        </w:rPr>
        <w:t xml:space="preserve">ower consumption of target </w:t>
      </w:r>
      <w:r>
        <w:rPr>
          <w:rFonts w:hint="eastAsia" w:eastAsia="宋体"/>
          <w:color w:val="000000" w:themeColor="text1"/>
          <w:szCs w:val="22"/>
          <w14:textFill>
            <w14:solidFill>
              <w14:schemeClr w14:val="tx1"/>
            </w14:solidFill>
          </w14:textFill>
        </w:rPr>
        <w:t>p</w:t>
      </w:r>
      <w:r>
        <w:rPr>
          <w:rFonts w:hint="eastAsia"/>
          <w:color w:val="000000" w:themeColor="text1"/>
          <w:szCs w:val="22"/>
          <w14:textFill>
            <w14:solidFill>
              <w14:schemeClr w14:val="tx1"/>
            </w14:solidFill>
          </w14:textFill>
        </w:rPr>
        <w:t xml:space="preserve">ower </w:t>
      </w:r>
      <w:r>
        <w:rPr>
          <w:rFonts w:hint="eastAsia" w:eastAsia="宋体"/>
          <w:color w:val="000000" w:themeColor="text1"/>
          <w:szCs w:val="22"/>
          <w14:textFill>
            <w14:solidFill>
              <w14:schemeClr w14:val="tx1"/>
            </w14:solidFill>
          </w14:textFill>
        </w:rPr>
        <w:t>s</w:t>
      </w:r>
      <w:r>
        <w:rPr>
          <w:rFonts w:hint="eastAsia"/>
          <w:color w:val="000000" w:themeColor="text1"/>
          <w:szCs w:val="22"/>
          <w14:textFill>
            <w14:solidFill>
              <w14:schemeClr w14:val="tx1"/>
            </w14:solidFill>
          </w14:textFill>
        </w:rPr>
        <w:t>tate</w:t>
      </w:r>
      <w:r>
        <w:rPr>
          <w:rFonts w:hint="eastAsia" w:eastAsia="宋体"/>
          <w:color w:val="000000" w:themeColor="text1"/>
          <w:szCs w:val="22"/>
          <w14:textFill>
            <w14:solidFill>
              <w14:schemeClr w14:val="tx1"/>
            </w14:solidFill>
          </w14:textFill>
        </w:rPr>
        <w:t>s</w:t>
      </w:r>
      <w:r>
        <w:rPr>
          <w:rFonts w:hint="eastAsia"/>
          <w:color w:val="000000" w:themeColor="text1"/>
          <w:szCs w:val="22"/>
          <w14:textFill>
            <w14:solidFill>
              <w14:schemeClr w14:val="tx1"/>
            </w14:solidFill>
          </w14:textFill>
        </w:rPr>
        <w:t xml:space="preserve"> in PSFCH slot</w:t>
      </w:r>
    </w:p>
    <w:p>
      <w:pPr>
        <w:spacing w:before="120" w:after="120" w:line="260" w:lineRule="auto"/>
        <w:rPr>
          <w:color w:val="000000" w:themeColor="text1"/>
          <w:sz w:val="20"/>
          <w14:textFill>
            <w14:solidFill>
              <w14:schemeClr w14:val="tx1"/>
            </w14:solidFill>
          </w14:textFill>
        </w:rPr>
      </w:pPr>
      <w:r>
        <w:rPr>
          <w:rFonts w:hint="eastAsia"/>
          <w:color w:val="000000" w:themeColor="text1"/>
          <w:sz w:val="20"/>
          <w14:textFill>
            <w14:solidFill>
              <w14:schemeClr w14:val="tx1"/>
            </w14:solidFill>
          </w14:textFill>
        </w:rPr>
        <w:t xml:space="preserve">In RAN1 #102-e meeting, the working assumption regarding </w:t>
      </w:r>
      <w:r>
        <w:rPr>
          <w:rFonts w:eastAsia="Gulim"/>
          <w:color w:val="000000" w:themeColor="text1"/>
          <w:sz w:val="20"/>
          <w:lang w:eastAsia="ko-KR"/>
          <w14:textFill>
            <w14:solidFill>
              <w14:schemeClr w14:val="tx1"/>
            </w14:solidFill>
          </w14:textFill>
        </w:rPr>
        <w:t>power consumption level of “PSFCH RX”</w:t>
      </w:r>
      <w:r>
        <w:rPr>
          <w:rFonts w:hint="eastAsia"/>
          <w:color w:val="000000" w:themeColor="text1"/>
          <w:sz w:val="20"/>
          <w14:textFill>
            <w14:solidFill>
              <w14:schemeClr w14:val="tx1"/>
            </w14:solidFill>
          </w14:textFill>
        </w:rPr>
        <w:t xml:space="preserve"> was </w:t>
      </w:r>
      <w:r>
        <w:rPr>
          <w:rFonts w:hint="eastAsia"/>
          <w:color w:val="000000" w:themeColor="text1"/>
          <w:sz w:val="20"/>
          <w:szCs w:val="22"/>
          <w14:textFill>
            <w14:solidFill>
              <w14:schemeClr w14:val="tx1"/>
            </w14:solidFill>
          </w14:textFill>
        </w:rPr>
        <w:t>reached</w:t>
      </w:r>
      <w:r>
        <w:rPr>
          <w:rFonts w:hint="eastAsia"/>
          <w:color w:val="000000" w:themeColor="text1"/>
          <w:sz w:val="20"/>
          <w14:textFill>
            <w14:solidFill>
              <w14:schemeClr w14:val="tx1"/>
            </w14:solidFill>
          </w14:textFill>
        </w:rPr>
        <w:t>. It is suggested that this working assumption shall be confirmed.</w:t>
      </w:r>
    </w:p>
    <w:p>
      <w:pPr>
        <w:pStyle w:val="23"/>
        <w:spacing w:beforeLines="100" w:after="120"/>
        <w:rPr>
          <w:b/>
          <w:bCs w:val="0"/>
          <w:i/>
          <w:iCs/>
          <w:color w:val="000000" w:themeColor="text1"/>
          <w:szCs w:val="22"/>
          <w:lang w:val="en-US" w:eastAsia="zh-CN"/>
          <w14:textFill>
            <w14:solidFill>
              <w14:schemeClr w14:val="tx1"/>
            </w14:solidFill>
          </w14:textFill>
        </w:rPr>
      </w:pPr>
      <w:bookmarkStart w:id="28" w:name="_Toc14300"/>
      <w:r>
        <w:rPr>
          <w:rFonts w:hint="eastAsia"/>
          <w:b/>
          <w:bCs w:val="0"/>
          <w:i/>
          <w:iCs/>
          <w:color w:val="000000" w:themeColor="text1"/>
          <w:szCs w:val="22"/>
          <w:lang w:val="en-US" w:eastAsia="zh-CN"/>
          <w14:textFill>
            <w14:solidFill>
              <w14:schemeClr w14:val="tx1"/>
            </w14:solidFill>
          </w14:textFill>
        </w:rPr>
        <w:t>Confirm the foll</w:t>
      </w:r>
      <w:r>
        <w:rPr>
          <w:b/>
          <w:bCs w:val="0"/>
          <w:i/>
          <w:iCs/>
          <w:color w:val="000000" w:themeColor="text1"/>
          <w:szCs w:val="22"/>
          <w:lang w:val="en-US" w:eastAsia="zh-CN"/>
          <w14:textFill>
            <w14:solidFill>
              <w14:schemeClr w14:val="tx1"/>
            </w14:solidFill>
          </w14:textFill>
        </w:rPr>
        <w:t>o</w:t>
      </w:r>
      <w:r>
        <w:rPr>
          <w:rFonts w:hint="eastAsia"/>
          <w:b/>
          <w:bCs w:val="0"/>
          <w:i/>
          <w:iCs/>
          <w:color w:val="000000" w:themeColor="text1"/>
          <w:szCs w:val="22"/>
          <w:lang w:val="en-US" w:eastAsia="zh-CN"/>
          <w14:textFill>
            <w14:solidFill>
              <w14:schemeClr w14:val="tx1"/>
            </w14:solidFill>
          </w14:textFill>
        </w:rPr>
        <w:t>wing working assumption:</w:t>
      </w:r>
      <w:bookmarkEnd w:id="28"/>
    </w:p>
    <w:p>
      <w:pPr>
        <w:pStyle w:val="50"/>
        <w:numPr>
          <w:ilvl w:val="1"/>
          <w:numId w:val="9"/>
        </w:numPr>
        <w:autoSpaceDE w:val="0"/>
        <w:autoSpaceDN w:val="0"/>
        <w:spacing w:before="120" w:after="120" w:line="260" w:lineRule="auto"/>
        <w:ind w:left="783" w:leftChars="200" w:hanging="363"/>
        <w:rPr>
          <w:rFonts w:ascii="Times New Roman" w:hAnsi="Times New Roman" w:eastAsia="Gulim" w:cs="Times New Roman"/>
          <w:b/>
          <w:bCs w:val="0"/>
          <w:i/>
          <w:iCs/>
          <w:color w:val="000000" w:themeColor="text1"/>
          <w:sz w:val="20"/>
          <w:szCs w:val="20"/>
          <w:lang w:eastAsia="ko-KR"/>
          <w14:textFill>
            <w14:solidFill>
              <w14:schemeClr w14:val="tx1"/>
            </w14:solidFill>
          </w14:textFill>
        </w:rPr>
      </w:pPr>
      <w:r>
        <w:rPr>
          <w:rFonts w:ascii="Times New Roman" w:hAnsi="Times New Roman" w:eastAsia="Gulim" w:cs="Times New Roman"/>
          <w:b/>
          <w:bCs w:val="0"/>
          <w:i/>
          <w:iCs/>
          <w:color w:val="000000" w:themeColor="text1"/>
          <w:sz w:val="20"/>
          <w:szCs w:val="20"/>
          <w:lang w:eastAsia="ko-KR"/>
          <w14:textFill>
            <w14:solidFill>
              <w14:schemeClr w14:val="tx1"/>
            </w14:solidFill>
          </w14:textFill>
        </w:rPr>
        <w:t>(</w:t>
      </w:r>
      <w:r>
        <w:rPr>
          <w:rFonts w:ascii="Times New Roman" w:hAnsi="Times New Roman" w:eastAsia="Gulim" w:cs="Times New Roman"/>
          <w:b/>
          <w:bCs w:val="0"/>
          <w:i/>
          <w:iCs/>
          <w:color w:val="000000" w:themeColor="text1"/>
          <w:sz w:val="20"/>
          <w:szCs w:val="20"/>
          <w:highlight w:val="darkYellow"/>
          <w:lang w:eastAsia="ko-KR"/>
          <w14:textFill>
            <w14:solidFill>
              <w14:schemeClr w14:val="tx1"/>
            </w14:solidFill>
          </w14:textFill>
        </w:rPr>
        <w:t>Working assumption</w:t>
      </w:r>
      <w:r>
        <w:rPr>
          <w:rFonts w:ascii="Times New Roman" w:hAnsi="Times New Roman" w:eastAsia="Gulim" w:cs="Times New Roman"/>
          <w:b/>
          <w:bCs w:val="0"/>
          <w:i/>
          <w:iCs/>
          <w:color w:val="000000" w:themeColor="text1"/>
          <w:sz w:val="20"/>
          <w:szCs w:val="20"/>
          <w:lang w:eastAsia="ko-KR"/>
          <w14:textFill>
            <w14:solidFill>
              <w14:schemeClr w14:val="tx1"/>
            </w14:solidFill>
          </w14:textFill>
        </w:rPr>
        <w:t xml:space="preserve">) For power consumption level of “PSFCH RX”, </w:t>
      </w:r>
    </w:p>
    <w:p>
      <w:pPr>
        <w:pStyle w:val="50"/>
        <w:numPr>
          <w:ilvl w:val="2"/>
          <w:numId w:val="9"/>
        </w:numPr>
        <w:autoSpaceDE w:val="0"/>
        <w:autoSpaceDN w:val="0"/>
        <w:spacing w:before="120" w:after="120" w:line="260" w:lineRule="auto"/>
        <w:ind w:left="1203" w:leftChars="400" w:hanging="363"/>
        <w:rPr>
          <w:rFonts w:ascii="Times New Roman" w:hAnsi="Times New Roman" w:eastAsia="Gulim" w:cs="Times New Roman"/>
          <w:b/>
          <w:bCs w:val="0"/>
          <w:i/>
          <w:iCs/>
          <w:color w:val="000000" w:themeColor="text1"/>
          <w:sz w:val="20"/>
          <w:szCs w:val="20"/>
          <w:lang w:eastAsia="ko-KR"/>
          <w14:textFill>
            <w14:solidFill>
              <w14:schemeClr w14:val="tx1"/>
            </w14:solidFill>
          </w14:textFill>
        </w:rPr>
      </w:pPr>
      <w:r>
        <w:rPr>
          <w:rFonts w:ascii="Times New Roman" w:hAnsi="Times New Roman" w:eastAsia="Gulim" w:cs="Times New Roman"/>
          <w:b/>
          <w:bCs w:val="0"/>
          <w:i/>
          <w:iCs/>
          <w:color w:val="000000" w:themeColor="text1"/>
          <w:sz w:val="20"/>
          <w:szCs w:val="20"/>
          <w:lang w:eastAsia="ko-KR"/>
          <w14:textFill>
            <w14:solidFill>
              <w14:schemeClr w14:val="tx1"/>
            </w14:solidFill>
          </w14:textFill>
        </w:rPr>
        <w:t>the power consumption level is power consumption level of “PDCCH-only” for cross-slot scheduling</w:t>
      </w:r>
    </w:p>
    <w:p>
      <w:pPr>
        <w:spacing w:before="120" w:after="120" w:line="260" w:lineRule="auto"/>
        <w:rPr>
          <w:sz w:val="20"/>
        </w:rPr>
      </w:pPr>
      <w:r>
        <w:rPr>
          <w:rFonts w:hint="eastAsia"/>
          <w:sz w:val="20"/>
        </w:rPr>
        <w:t>In RAN1 #102-e meeting, the power consumption level was not defined for some power states in PSFCH slot. One reason is that it is up to each company to provide the assumptions about the power level of these power states.</w:t>
      </w:r>
    </w:p>
    <w:p>
      <w:pPr>
        <w:spacing w:before="120" w:after="120" w:line="260" w:lineRule="auto"/>
        <w:rPr>
          <w:sz w:val="20"/>
        </w:rPr>
      </w:pPr>
      <w:r>
        <w:rPr>
          <w:rFonts w:hint="eastAsia"/>
          <w:sz w:val="20"/>
        </w:rPr>
        <w:t xml:space="preserve">For a sidelink energy-saving scheme, it is usually a trade-off between PRR loss and power saving. For example, if the PRR performance of a scheme is not significantly reduced, and the power saving can exceed a certain proportion, then the energy saving scheme is a feasible scheme. </w:t>
      </w:r>
      <w:r>
        <w:rPr>
          <w:sz w:val="20"/>
        </w:rPr>
        <w:t>If the power consumption simulation assumptions of different companies are different, the power saving proportion of can be different</w:t>
      </w:r>
      <w:r>
        <w:rPr>
          <w:rFonts w:hint="eastAsia"/>
          <w:sz w:val="20"/>
        </w:rPr>
        <w:t xml:space="preserve"> for </w:t>
      </w:r>
      <w:r>
        <w:rPr>
          <w:sz w:val="20"/>
        </w:rPr>
        <w:t xml:space="preserve">a solution dedicated to </w:t>
      </w:r>
      <w:r>
        <w:rPr>
          <w:rFonts w:hint="eastAsia"/>
          <w:sz w:val="20"/>
        </w:rPr>
        <w:t xml:space="preserve">sidelink </w:t>
      </w:r>
      <w:r>
        <w:rPr>
          <w:sz w:val="20"/>
        </w:rPr>
        <w:t xml:space="preserve">power saving. Then different companies have different conclusions on the feasibility of </w:t>
      </w:r>
      <w:r>
        <w:rPr>
          <w:rFonts w:hint="eastAsia"/>
          <w:sz w:val="20"/>
        </w:rPr>
        <w:t xml:space="preserve">the </w:t>
      </w:r>
      <w:r>
        <w:rPr>
          <w:sz w:val="20"/>
        </w:rPr>
        <w:t>energy-saving scheme</w:t>
      </w:r>
      <w:r>
        <w:rPr>
          <w:rFonts w:hint="eastAsia"/>
          <w:sz w:val="20"/>
        </w:rPr>
        <w:t xml:space="preserve">. </w:t>
      </w:r>
      <w:r>
        <w:rPr>
          <w:sz w:val="20"/>
        </w:rPr>
        <w:t xml:space="preserve">As a result, it is difficult to decide which company's </w:t>
      </w:r>
      <w:r>
        <w:rPr>
          <w:rFonts w:hint="eastAsia"/>
          <w:sz w:val="20"/>
        </w:rPr>
        <w:t xml:space="preserve">simulation </w:t>
      </w:r>
      <w:r>
        <w:rPr>
          <w:sz w:val="20"/>
        </w:rPr>
        <w:t>results can be accepted.</w:t>
      </w:r>
      <w:r>
        <w:rPr>
          <w:rFonts w:hint="eastAsia"/>
          <w:sz w:val="20"/>
        </w:rPr>
        <w:t xml:space="preserve"> In order to prove which company's results are acceptable, one company may spend a lot of time arguing about the rationality of other companies' simulation assumptions, which reduces the efficiency of RAN1 meeting. </w:t>
      </w:r>
      <w:r>
        <w:rPr>
          <w:sz w:val="20"/>
        </w:rPr>
        <w:t xml:space="preserve">In order to avoid the above situation, it is suggested to define the power consumption level of each power state in </w:t>
      </w:r>
      <w:r>
        <w:rPr>
          <w:rFonts w:hint="eastAsia"/>
          <w:sz w:val="20"/>
        </w:rPr>
        <w:t xml:space="preserve">PSFCH </w:t>
      </w:r>
      <w:r>
        <w:rPr>
          <w:sz w:val="20"/>
        </w:rPr>
        <w:t xml:space="preserve">slot as a unified simulation </w:t>
      </w:r>
      <w:r>
        <w:rPr>
          <w:rFonts w:hint="eastAsia"/>
          <w:sz w:val="20"/>
        </w:rPr>
        <w:t xml:space="preserve">assumption </w:t>
      </w:r>
      <w:r>
        <w:rPr>
          <w:sz w:val="20"/>
        </w:rPr>
        <w:t>for all companies.</w:t>
      </w:r>
    </w:p>
    <w:p>
      <w:pPr>
        <w:spacing w:before="120" w:after="120" w:line="260" w:lineRule="auto"/>
        <w:rPr>
          <w:sz w:val="20"/>
        </w:rPr>
      </w:pPr>
      <w:r>
        <w:rPr>
          <w:sz w:val="20"/>
        </w:rPr>
        <w:t xml:space="preserve">Regarding the power consumption of different power states in </w:t>
      </w:r>
      <w:r>
        <w:rPr>
          <w:rFonts w:hint="eastAsia"/>
          <w:sz w:val="20"/>
        </w:rPr>
        <w:t xml:space="preserve">PSFCH </w:t>
      </w:r>
      <w:r>
        <w:rPr>
          <w:sz w:val="20"/>
        </w:rPr>
        <w:t xml:space="preserve">slot, </w:t>
      </w:r>
      <w:r>
        <w:rPr>
          <w:rFonts w:hint="eastAsia"/>
          <w:sz w:val="20"/>
        </w:rPr>
        <w:t xml:space="preserve">it is </w:t>
      </w:r>
      <w:r>
        <w:rPr>
          <w:sz w:val="20"/>
        </w:rPr>
        <w:t>suggest</w:t>
      </w:r>
      <w:r>
        <w:rPr>
          <w:rFonts w:hint="eastAsia"/>
          <w:sz w:val="20"/>
        </w:rPr>
        <w:t>ed</w:t>
      </w:r>
      <w:r>
        <w:rPr>
          <w:sz w:val="20"/>
        </w:rPr>
        <w:t xml:space="preserve"> that the power consumption in table 6-</w:t>
      </w:r>
      <w:r>
        <w:rPr>
          <w:rFonts w:hint="eastAsia"/>
          <w:sz w:val="20"/>
        </w:rPr>
        <w:t>1</w:t>
      </w:r>
      <w:r>
        <w:rPr>
          <w:sz w:val="20"/>
        </w:rPr>
        <w:t xml:space="preserve"> be adopted.</w:t>
      </w:r>
      <w:r>
        <w:rPr>
          <w:rFonts w:hint="eastAsia"/>
          <w:sz w:val="20"/>
        </w:rPr>
        <w:t xml:space="preserve"> </w:t>
      </w:r>
    </w:p>
    <w:p>
      <w:pPr>
        <w:pStyle w:val="43"/>
        <w:spacing w:before="120" w:after="120"/>
        <w:rPr>
          <w:sz w:val="20"/>
        </w:rPr>
      </w:pPr>
      <w:r>
        <w:rPr>
          <w:sz w:val="20"/>
        </w:rPr>
        <w:t xml:space="preserve">Table </w:t>
      </w:r>
      <w:r>
        <w:rPr>
          <w:rFonts w:hint="eastAsia"/>
          <w:sz w:val="20"/>
        </w:rPr>
        <w:t>6-1</w:t>
      </w:r>
      <w:r>
        <w:rPr>
          <w:sz w:val="20"/>
        </w:rPr>
        <w:t xml:space="preserve">: UE power consumption </w:t>
      </w:r>
      <w:r>
        <w:rPr>
          <w:rFonts w:hint="eastAsia" w:ascii="Times New Roman" w:hAnsi="Times New Roman"/>
          <w:sz w:val="20"/>
        </w:rPr>
        <w:t>in PSFCH slot</w:t>
      </w:r>
    </w:p>
    <w:tbl>
      <w:tblPr>
        <w:tblStyle w:val="18"/>
        <w:tblW w:w="95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04"/>
        <w:gridCol w:w="5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04" w:type="dxa"/>
            <w:shd w:val="clear" w:color="auto" w:fill="EEECE1" w:themeFill="background2"/>
          </w:tcPr>
          <w:p>
            <w:pPr>
              <w:pStyle w:val="44"/>
              <w:widowControl w:val="0"/>
              <w:spacing w:before="120" w:after="120"/>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Power State</w:t>
            </w:r>
          </w:p>
        </w:tc>
        <w:tc>
          <w:tcPr>
            <w:tcW w:w="5929" w:type="dxa"/>
            <w:shd w:val="clear" w:color="auto" w:fill="EEECE1" w:themeFill="background2"/>
          </w:tcPr>
          <w:p>
            <w:pPr>
              <w:pStyle w:val="44"/>
              <w:widowControl w:val="0"/>
              <w:spacing w:before="120" w:after="120"/>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Power</w:t>
            </w:r>
            <w:r>
              <w:rPr>
                <w:rFonts w:hint="eastAsia" w:ascii="Times New Roman" w:hAnsi="Times New Roman"/>
                <w:color w:val="000000" w:themeColor="text1"/>
                <w:sz w:val="20"/>
                <w14:textFill>
                  <w14:solidFill>
                    <w14:schemeClr w14:val="tx1"/>
                  </w14:solidFill>
                </w14:textFill>
              </w:rPr>
              <w:t xml:space="preserve"> </w:t>
            </w:r>
            <w:r>
              <w:rPr>
                <w:rFonts w:ascii="Times New Roman" w:hAnsi="Times New Roman"/>
                <w:color w:val="000000" w:themeColor="text1"/>
                <w:sz w:val="20"/>
                <w14:textFill>
                  <w14:solidFill>
                    <w14:schemeClr w14:val="tx1"/>
                  </w14:solidFill>
                </w14:textFill>
              </w:rPr>
              <w:t xml:space="preserve">consumption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3604" w:type="dxa"/>
          </w:tcPr>
          <w:p>
            <w:pPr>
              <w:widowControl w:val="0"/>
              <w:spacing w:before="120" w:after="120" w:line="360" w:lineRule="auto"/>
              <w:rPr>
                <w:color w:val="000000" w:themeColor="text1"/>
                <w:sz w:val="20"/>
                <w14:textFill>
                  <w14:solidFill>
                    <w14:schemeClr w14:val="tx1"/>
                  </w14:solidFill>
                </w14:textFill>
              </w:rPr>
            </w:pPr>
            <w:r>
              <w:rPr>
                <w:color w:val="000000" w:themeColor="text1"/>
                <w:sz w:val="20"/>
                <w14:textFill>
                  <w14:solidFill>
                    <w14:schemeClr w14:val="tx1"/>
                  </w14:solidFill>
                </w14:textFill>
              </w:rPr>
              <w:t>PSCCH/PSSCH RX</w:t>
            </w:r>
          </w:p>
        </w:tc>
        <w:tc>
          <w:tcPr>
            <w:tcW w:w="5929" w:type="dxa"/>
          </w:tcPr>
          <w:p>
            <w:pPr>
              <w:widowControl w:val="0"/>
              <w:spacing w:before="120" w:after="120" w:line="360" w:lineRule="auto"/>
              <w:rPr>
                <w:color w:val="000000" w:themeColor="text1"/>
                <w:sz w:val="20"/>
                <w14:textFill>
                  <w14:solidFill>
                    <w14:schemeClr w14:val="tx1"/>
                  </w14:solidFill>
                </w14:textFill>
              </w:rPr>
            </w:pPr>
            <w:r>
              <w:rPr>
                <w:rFonts w:hint="eastAsia"/>
                <w:color w:val="000000" w:themeColor="text1"/>
                <w:sz w:val="20"/>
                <w14:textFill>
                  <w14:solidFill>
                    <w14:schemeClr w14:val="tx1"/>
                  </w14:solidFill>
                </w14:textFill>
              </w:rPr>
              <w:t>0.8</w:t>
            </w:r>
            <w:r>
              <w:rPr>
                <w:color w:val="000000" w:themeColor="text1"/>
                <w:sz w:val="20"/>
                <w14:textFill>
                  <w14:solidFill>
                    <w14:schemeClr w14:val="tx1"/>
                  </w14:solidFill>
                </w14:textFill>
              </w:rPr>
              <w:t>*power consumption level of “PDCCH+PDSCH”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3604" w:type="dxa"/>
          </w:tcPr>
          <w:p>
            <w:pPr>
              <w:widowControl w:val="0"/>
              <w:spacing w:before="120" w:after="120" w:line="360" w:lineRule="auto"/>
              <w:rPr>
                <w:color w:val="000000" w:themeColor="text1"/>
                <w:sz w:val="20"/>
                <w14:textFill>
                  <w14:solidFill>
                    <w14:schemeClr w14:val="tx1"/>
                  </w14:solidFill>
                </w14:textFill>
              </w:rPr>
            </w:pPr>
            <w:r>
              <w:rPr>
                <w:color w:val="000000" w:themeColor="text1"/>
                <w:sz w:val="20"/>
                <w14:textFill>
                  <w14:solidFill>
                    <w14:schemeClr w14:val="tx1"/>
                  </w14:solidFill>
                </w14:textFill>
              </w:rPr>
              <w:t>PSCCH/PSSCH TX</w:t>
            </w:r>
          </w:p>
        </w:tc>
        <w:tc>
          <w:tcPr>
            <w:tcW w:w="5929" w:type="dxa"/>
          </w:tcPr>
          <w:p>
            <w:pPr>
              <w:widowControl w:val="0"/>
              <w:spacing w:before="120" w:after="120" w:line="360" w:lineRule="auto"/>
              <w:rPr>
                <w:color w:val="000000" w:themeColor="text1"/>
                <w:sz w:val="20"/>
                <w14:textFill>
                  <w14:solidFill>
                    <w14:schemeClr w14:val="tx1"/>
                  </w14:solidFill>
                </w14:textFill>
              </w:rPr>
            </w:pPr>
            <w:r>
              <w:rPr>
                <w:rFonts w:hint="eastAsia"/>
                <w:color w:val="000000" w:themeColor="text1"/>
                <w:sz w:val="20"/>
                <w14:textFill>
                  <w14:solidFill>
                    <w14:schemeClr w14:val="tx1"/>
                  </w14:solidFill>
                </w14:textFill>
              </w:rPr>
              <w:t>0.8*</w:t>
            </w:r>
            <w:r>
              <w:rPr>
                <w:color w:val="000000" w:themeColor="text1"/>
                <w:sz w:val="20"/>
                <w14:textFill>
                  <w14:solidFill>
                    <w14:schemeClr w14:val="tx1"/>
                  </w14:solidFill>
                </w14:textFill>
              </w:rPr>
              <w:t>power consumption level of “UL” for long PUCCH or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3604" w:type="dxa"/>
          </w:tcPr>
          <w:p>
            <w:pPr>
              <w:widowControl w:val="0"/>
              <w:spacing w:before="120" w:after="120" w:line="360" w:lineRule="auto"/>
              <w:rPr>
                <w:color w:val="000000" w:themeColor="text1"/>
                <w:sz w:val="20"/>
                <w14:textFill>
                  <w14:solidFill>
                    <w14:schemeClr w14:val="tx1"/>
                  </w14:solidFill>
                </w14:textFill>
              </w:rPr>
            </w:pPr>
            <w:r>
              <w:rPr>
                <w:color w:val="000000" w:themeColor="text1"/>
                <w:sz w:val="20"/>
                <w14:textFill>
                  <w14:solidFill>
                    <w14:schemeClr w14:val="tx1"/>
                  </w14:solidFill>
                </w14:textFill>
              </w:rPr>
              <w:t xml:space="preserve">“PSCCH/PSSCH RX” and “PSFCH RX” </w:t>
            </w:r>
          </w:p>
        </w:tc>
        <w:tc>
          <w:tcPr>
            <w:tcW w:w="5929" w:type="dxa"/>
          </w:tcPr>
          <w:p>
            <w:pPr>
              <w:widowControl w:val="0"/>
              <w:spacing w:before="120" w:after="120" w:line="360" w:lineRule="auto"/>
              <w:rPr>
                <w:rStyle w:val="49"/>
                <w:rFonts w:ascii="Calibri" w:hAnsi="Calibri" w:cs="Calibri"/>
                <w:i/>
                <w:color w:val="000000" w:themeColor="text1"/>
                <w:sz w:val="20"/>
                <w:highlight w:val="green"/>
                <w:shd w:val="clear" w:color="auto" w:fill="C0C0C0"/>
                <w14:textFill>
                  <w14:solidFill>
                    <w14:schemeClr w14:val="tx1"/>
                  </w14:solidFill>
                </w14:textFill>
              </w:rPr>
            </w:pPr>
            <w:r>
              <w:rPr>
                <w:rFonts w:hint="eastAsia"/>
                <w:color w:val="000000" w:themeColor="text1"/>
                <w:sz w:val="20"/>
                <w14:textFill>
                  <w14:solidFill>
                    <w14:schemeClr w14:val="tx1"/>
                  </w14:solidFill>
                </w14:textFill>
              </w:rPr>
              <w:t>S</w:t>
            </w:r>
            <w:r>
              <w:rPr>
                <w:color w:val="000000" w:themeColor="text1"/>
                <w:sz w:val="20"/>
                <w14:textFill>
                  <w14:solidFill>
                    <w14:schemeClr w14:val="tx1"/>
                  </w14:solidFill>
                </w14:textFill>
              </w:rPr>
              <w:t>um of power consumption level of “PSCCH/PSSCH RX” in PSFCH-slot and power consumption level of “PSFCH 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3604" w:type="dxa"/>
          </w:tcPr>
          <w:p>
            <w:pPr>
              <w:widowControl w:val="0"/>
              <w:spacing w:before="120" w:after="120" w:line="360" w:lineRule="auto"/>
              <w:rPr>
                <w:color w:val="000000" w:themeColor="text1"/>
                <w:sz w:val="20"/>
                <w14:textFill>
                  <w14:solidFill>
                    <w14:schemeClr w14:val="tx1"/>
                  </w14:solidFill>
                </w14:textFill>
              </w:rPr>
            </w:pPr>
            <w:r>
              <w:rPr>
                <w:color w:val="000000" w:themeColor="text1"/>
                <w:sz w:val="20"/>
                <w14:textFill>
                  <w14:solidFill>
                    <w14:schemeClr w14:val="tx1"/>
                  </w14:solidFill>
                </w14:textFill>
              </w:rPr>
              <w:t>“PSCCH/PSSCH TX” and “PSFCH TX” </w:t>
            </w:r>
          </w:p>
        </w:tc>
        <w:tc>
          <w:tcPr>
            <w:tcW w:w="5929" w:type="dxa"/>
          </w:tcPr>
          <w:p>
            <w:pPr>
              <w:widowControl w:val="0"/>
              <w:spacing w:before="120" w:after="120" w:line="360" w:lineRule="auto"/>
              <w:rPr>
                <w:color w:val="000000" w:themeColor="text1"/>
                <w:sz w:val="20"/>
                <w:highlight w:val="green"/>
                <w14:textFill>
                  <w14:solidFill>
                    <w14:schemeClr w14:val="tx1"/>
                  </w14:solidFill>
                </w14:textFill>
              </w:rPr>
            </w:pPr>
            <w:r>
              <w:rPr>
                <w:rFonts w:hint="eastAsia"/>
                <w:color w:val="000000" w:themeColor="text1"/>
                <w:sz w:val="20"/>
                <w14:textFill>
                  <w14:solidFill>
                    <w14:schemeClr w14:val="tx1"/>
                  </w14:solidFill>
                </w14:textFill>
              </w:rPr>
              <w:t>S</w:t>
            </w:r>
            <w:r>
              <w:rPr>
                <w:color w:val="000000" w:themeColor="text1"/>
                <w:sz w:val="20"/>
                <w14:textFill>
                  <w14:solidFill>
                    <w14:schemeClr w14:val="tx1"/>
                  </w14:solidFill>
                </w14:textFill>
              </w:rPr>
              <w:t>um of power consumption level of “PSCCH/PSSCH TX” in PSFCH-slot and power consumption level of “PSFCH 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3604" w:type="dxa"/>
          </w:tcPr>
          <w:p>
            <w:pPr>
              <w:widowControl w:val="0"/>
              <w:spacing w:before="120" w:after="120" w:line="360" w:lineRule="auto"/>
              <w:rPr>
                <w:color w:val="000000" w:themeColor="text1"/>
                <w:sz w:val="20"/>
                <w14:textFill>
                  <w14:solidFill>
                    <w14:schemeClr w14:val="tx1"/>
                  </w14:solidFill>
                </w14:textFill>
              </w:rPr>
            </w:pPr>
            <w:r>
              <w:rPr>
                <w:color w:val="000000" w:themeColor="text1"/>
                <w:sz w:val="20"/>
                <w14:textFill>
                  <w14:solidFill>
                    <w14:schemeClr w14:val="tx1"/>
                  </w14:solidFill>
                </w14:textFill>
              </w:rPr>
              <w:t>1st SCI/2nd SCI RX” and “PSFCH TX”</w:t>
            </w:r>
          </w:p>
        </w:tc>
        <w:tc>
          <w:tcPr>
            <w:tcW w:w="5929" w:type="dxa"/>
          </w:tcPr>
          <w:p>
            <w:pPr>
              <w:widowControl w:val="0"/>
              <w:spacing w:before="120" w:after="120" w:line="360" w:lineRule="auto"/>
              <w:rPr>
                <w:color w:val="000000" w:themeColor="text1"/>
                <w:sz w:val="20"/>
                <w14:textFill>
                  <w14:solidFill>
                    <w14:schemeClr w14:val="tx1"/>
                  </w14:solidFill>
                </w14:textFill>
              </w:rPr>
            </w:pPr>
            <w:r>
              <w:rPr>
                <w:rFonts w:hint="eastAsia"/>
                <w:color w:val="000000" w:themeColor="text1"/>
                <w:sz w:val="20"/>
                <w14:textFill>
                  <w14:solidFill>
                    <w14:schemeClr w14:val="tx1"/>
                  </w14:solidFill>
                </w14:textFill>
              </w:rPr>
              <w:t>S</w:t>
            </w:r>
            <w:r>
              <w:rPr>
                <w:color w:val="000000" w:themeColor="text1"/>
                <w:sz w:val="20"/>
                <w14:textFill>
                  <w14:solidFill>
                    <w14:schemeClr w14:val="tx1"/>
                  </w14:solidFill>
                </w14:textFill>
              </w:rPr>
              <w:t>um of power consumption level of “1st SCI/2nd SCI RX” and power consumption level of “PSFCH 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3604" w:type="dxa"/>
          </w:tcPr>
          <w:p>
            <w:pPr>
              <w:widowControl w:val="0"/>
              <w:spacing w:before="120" w:after="120" w:line="360" w:lineRule="auto"/>
              <w:rPr>
                <w:color w:val="000000" w:themeColor="text1"/>
                <w:sz w:val="20"/>
                <w14:textFill>
                  <w14:solidFill>
                    <w14:schemeClr w14:val="tx1"/>
                  </w14:solidFill>
                </w14:textFill>
              </w:rPr>
            </w:pPr>
            <w:r>
              <w:rPr>
                <w:color w:val="000000" w:themeColor="text1"/>
                <w:sz w:val="20"/>
                <w14:textFill>
                  <w14:solidFill>
                    <w14:schemeClr w14:val="tx1"/>
                  </w14:solidFill>
                </w14:textFill>
              </w:rPr>
              <w:t>“1st SCI/2nd SCI RX” and “PSFCH RX”</w:t>
            </w:r>
          </w:p>
        </w:tc>
        <w:tc>
          <w:tcPr>
            <w:tcW w:w="5929" w:type="dxa"/>
          </w:tcPr>
          <w:p>
            <w:pPr>
              <w:widowControl w:val="0"/>
              <w:spacing w:before="120" w:after="120" w:line="360" w:lineRule="auto"/>
              <w:rPr>
                <w:color w:val="000000" w:themeColor="text1"/>
                <w:sz w:val="20"/>
                <w14:textFill>
                  <w14:solidFill>
                    <w14:schemeClr w14:val="tx1"/>
                  </w14:solidFill>
                </w14:textFill>
              </w:rPr>
            </w:pPr>
            <w:r>
              <w:rPr>
                <w:rFonts w:hint="eastAsia"/>
                <w:color w:val="000000" w:themeColor="text1"/>
                <w:sz w:val="20"/>
                <w14:textFill>
                  <w14:solidFill>
                    <w14:schemeClr w14:val="tx1"/>
                  </w14:solidFill>
                </w14:textFill>
              </w:rPr>
              <w:t>S</w:t>
            </w:r>
            <w:r>
              <w:rPr>
                <w:color w:val="000000" w:themeColor="text1"/>
                <w:sz w:val="20"/>
                <w14:textFill>
                  <w14:solidFill>
                    <w14:schemeClr w14:val="tx1"/>
                  </w14:solidFill>
                </w14:textFill>
              </w:rPr>
              <w:t>um of power consumption level of “1st SCI/2nd SCI RX” and power consumption level of “PSFCH 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3604" w:type="dxa"/>
          </w:tcPr>
          <w:p>
            <w:pPr>
              <w:widowControl w:val="0"/>
              <w:spacing w:before="120" w:after="120" w:line="360" w:lineRule="auto"/>
              <w:rPr>
                <w:color w:val="000000" w:themeColor="text1"/>
                <w:sz w:val="20"/>
                <w14:textFill>
                  <w14:solidFill>
                    <w14:schemeClr w14:val="tx1"/>
                  </w14:solidFill>
                </w14:textFill>
              </w:rPr>
            </w:pPr>
            <w:r>
              <w:rPr>
                <w:color w:val="000000" w:themeColor="text1"/>
                <w:sz w:val="20"/>
                <w14:textFill>
                  <w14:solidFill>
                    <w14:schemeClr w14:val="tx1"/>
                  </w14:solidFill>
                </w14:textFill>
              </w:rPr>
              <w:t>“PSCCH/PSSCH RX”</w:t>
            </w:r>
            <w:r>
              <w:rPr>
                <w:rFonts w:hint="eastAsia"/>
                <w:color w:val="000000" w:themeColor="text1"/>
                <w:sz w:val="20"/>
                <w14:textFill>
                  <w14:solidFill>
                    <w14:schemeClr w14:val="tx1"/>
                  </w14:solidFill>
                </w14:textFill>
              </w:rPr>
              <w:t xml:space="preserve"> </w:t>
            </w:r>
            <w:r>
              <w:rPr>
                <w:color w:val="000000" w:themeColor="text1"/>
                <w:sz w:val="20"/>
                <w14:textFill>
                  <w14:solidFill>
                    <w14:schemeClr w14:val="tx1"/>
                  </w14:solidFill>
                </w14:textFill>
              </w:rPr>
              <w:t>and “PSFCH TX”</w:t>
            </w:r>
          </w:p>
        </w:tc>
        <w:tc>
          <w:tcPr>
            <w:tcW w:w="5929" w:type="dxa"/>
          </w:tcPr>
          <w:p>
            <w:pPr>
              <w:widowControl w:val="0"/>
              <w:spacing w:before="120" w:after="120" w:line="360" w:lineRule="auto"/>
              <w:rPr>
                <w:color w:val="000000" w:themeColor="text1"/>
                <w:sz w:val="20"/>
                <w14:textFill>
                  <w14:solidFill>
                    <w14:schemeClr w14:val="tx1"/>
                  </w14:solidFill>
                </w14:textFill>
              </w:rPr>
            </w:pPr>
            <w:r>
              <w:rPr>
                <w:rFonts w:hint="eastAsia"/>
                <w:color w:val="000000" w:themeColor="text1"/>
                <w:sz w:val="20"/>
                <w14:textFill>
                  <w14:solidFill>
                    <w14:schemeClr w14:val="tx1"/>
                  </w14:solidFill>
                </w14:textFill>
              </w:rPr>
              <w:t>S</w:t>
            </w:r>
            <w:r>
              <w:rPr>
                <w:color w:val="000000" w:themeColor="text1"/>
                <w:sz w:val="20"/>
                <w14:textFill>
                  <w14:solidFill>
                    <w14:schemeClr w14:val="tx1"/>
                  </w14:solidFill>
                </w14:textFill>
              </w:rPr>
              <w:t>um of power consumption level of “PSCCH/PSSCH RX” in PSFCH-slot and power consumption level of “PSFCH 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3604" w:type="dxa"/>
          </w:tcPr>
          <w:p>
            <w:pPr>
              <w:widowControl w:val="0"/>
              <w:spacing w:before="120" w:after="120" w:line="360" w:lineRule="auto"/>
              <w:rPr>
                <w:color w:val="000000" w:themeColor="text1"/>
                <w:sz w:val="20"/>
                <w14:textFill>
                  <w14:solidFill>
                    <w14:schemeClr w14:val="tx1"/>
                  </w14:solidFill>
                </w14:textFill>
              </w:rPr>
            </w:pPr>
            <w:r>
              <w:rPr>
                <w:color w:val="000000" w:themeColor="text1"/>
                <w:sz w:val="20"/>
                <w14:textFill>
                  <w14:solidFill>
                    <w14:schemeClr w14:val="tx1"/>
                  </w14:solidFill>
                </w14:textFill>
              </w:rPr>
              <w:t xml:space="preserve">“PSCCH/PSSCH TX” and “PSFCH RX” </w:t>
            </w:r>
          </w:p>
        </w:tc>
        <w:tc>
          <w:tcPr>
            <w:tcW w:w="5929" w:type="dxa"/>
          </w:tcPr>
          <w:p>
            <w:pPr>
              <w:widowControl w:val="0"/>
              <w:spacing w:before="120" w:after="120" w:line="360" w:lineRule="auto"/>
              <w:rPr>
                <w:color w:val="000000" w:themeColor="text1"/>
                <w:sz w:val="20"/>
                <w14:textFill>
                  <w14:solidFill>
                    <w14:schemeClr w14:val="tx1"/>
                  </w14:solidFill>
                </w14:textFill>
              </w:rPr>
            </w:pPr>
            <w:r>
              <w:rPr>
                <w:rFonts w:hint="eastAsia"/>
                <w:color w:val="000000" w:themeColor="text1"/>
                <w:sz w:val="20"/>
                <w14:textFill>
                  <w14:solidFill>
                    <w14:schemeClr w14:val="tx1"/>
                  </w14:solidFill>
                </w14:textFill>
              </w:rPr>
              <w:t>S</w:t>
            </w:r>
            <w:r>
              <w:rPr>
                <w:color w:val="000000" w:themeColor="text1"/>
                <w:sz w:val="20"/>
                <w14:textFill>
                  <w14:solidFill>
                    <w14:schemeClr w14:val="tx1"/>
                  </w14:solidFill>
                </w14:textFill>
              </w:rPr>
              <w:t>um of power consumption level of “PSCCH/PSSCH TX” in PSFCH-slot and power consumption level of “PSFCH 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9533" w:type="dxa"/>
            <w:gridSpan w:val="2"/>
          </w:tcPr>
          <w:p>
            <w:pPr>
              <w:pStyle w:val="47"/>
              <w:widowControl/>
              <w:spacing w:beforeLines="0" w:afterLines="0"/>
              <w:ind w:left="800" w:hanging="800" w:hangingChars="400"/>
              <w:jc w:val="left"/>
              <w:rPr>
                <w:color w:val="000000" w:themeColor="text1"/>
                <w:sz w:val="20"/>
                <w14:textFill>
                  <w14:solidFill>
                    <w14:schemeClr w14:val="tx1"/>
                  </w14:solidFill>
                </w14:textFill>
              </w:rPr>
            </w:pPr>
            <w:r>
              <w:rPr>
                <w:rFonts w:ascii="Times New Roman" w:hAnsi="Times New Roman" w:eastAsia="Times New Roman"/>
                <w:color w:val="000000" w:themeColor="text1"/>
                <w:kern w:val="0"/>
                <w:sz w:val="20"/>
                <w:u w:val="single"/>
                <w:lang w:val="en-GB" w:eastAsia="en-US"/>
                <w14:textFill>
                  <w14:solidFill>
                    <w14:schemeClr w14:val="tx1"/>
                  </w14:solidFill>
                </w14:textFill>
              </w:rPr>
              <w:t>NOTE :</w:t>
            </w:r>
            <w:r>
              <w:rPr>
                <w:rFonts w:ascii="Times New Roman" w:hAnsi="Times New Roman" w:eastAsia="Times New Roman"/>
                <w:color w:val="000000" w:themeColor="text1"/>
                <w:kern w:val="0"/>
                <w:sz w:val="20"/>
                <w:u w:val="single"/>
                <w14:textFill>
                  <w14:solidFill>
                    <w14:schemeClr w14:val="tx1"/>
                  </w14:solidFill>
                </w14:textFill>
              </w:rPr>
              <w:t xml:space="preserve"> </w:t>
            </w:r>
            <w:r>
              <w:rPr>
                <w:rFonts w:ascii="Times New Roman" w:hAnsi="Times New Roman" w:eastAsia="Times New Roman"/>
                <w:color w:val="000000" w:themeColor="text1"/>
                <w:kern w:val="0"/>
                <w:sz w:val="20"/>
                <w:u w:val="single"/>
                <w:lang w:val="en-GB" w:eastAsia="ko-KR"/>
                <w14:textFill>
                  <w14:solidFill>
                    <w14:schemeClr w14:val="tx1"/>
                  </w14:solidFill>
                </w14:textFill>
              </w:rPr>
              <w:t xml:space="preserve">The number of PSCCH/PSSCH symbols in PSFCH-slot is less than that in </w:t>
            </w:r>
            <w:r>
              <w:rPr>
                <w:rFonts w:ascii="Times New Roman" w:hAnsi="Times New Roman" w:eastAsia="Times New Roman"/>
                <w:color w:val="000000" w:themeColor="text1"/>
                <w:kern w:val="0"/>
                <w:sz w:val="20"/>
                <w:u w:val="single"/>
                <w14:textFill>
                  <w14:solidFill>
                    <w14:schemeClr w14:val="tx1"/>
                  </w14:solidFill>
                </w14:textFill>
              </w:rPr>
              <w:t>non-</w:t>
            </w:r>
            <w:r>
              <w:rPr>
                <w:rFonts w:ascii="Times New Roman" w:hAnsi="Times New Roman" w:eastAsia="Times New Roman"/>
                <w:color w:val="000000" w:themeColor="text1"/>
                <w:kern w:val="0"/>
                <w:sz w:val="20"/>
                <w:u w:val="single"/>
                <w:lang w:val="en-GB" w:eastAsia="ko-KR"/>
                <w14:textFill>
                  <w14:solidFill>
                    <w14:schemeClr w14:val="tx1"/>
                  </w14:solidFill>
                </w14:textFill>
              </w:rPr>
              <w:t>PSFCH-slot(i.e., the number</w:t>
            </w:r>
            <w:r>
              <w:rPr>
                <w:rFonts w:hint="eastAsia" w:asciiTheme="minorEastAsia" w:hAnsiTheme="minorEastAsia" w:eastAsiaTheme="minorEastAsia"/>
                <w:color w:val="000000" w:themeColor="text1"/>
                <w:kern w:val="0"/>
                <w:sz w:val="20"/>
                <w:u w:val="single"/>
                <w:lang w:val="en-GB"/>
                <w14:textFill>
                  <w14:solidFill>
                    <w14:schemeClr w14:val="tx1"/>
                  </w14:solidFill>
                </w14:textFill>
              </w:rPr>
              <w:t xml:space="preserve"> </w:t>
            </w:r>
            <w:r>
              <w:rPr>
                <w:rFonts w:ascii="Times New Roman" w:hAnsi="Times New Roman" w:eastAsia="Times New Roman"/>
                <w:color w:val="000000" w:themeColor="text1"/>
                <w:kern w:val="0"/>
                <w:sz w:val="20"/>
                <w:u w:val="single"/>
                <w:lang w:val="en-GB" w:eastAsia="ko-KR"/>
                <w14:textFill>
                  <w14:solidFill>
                    <w14:schemeClr w14:val="tx1"/>
                  </w14:solidFill>
                </w14:textFill>
              </w:rPr>
              <w:t>of PSCCH/PSSCH symbols</w:t>
            </w:r>
            <w:r>
              <w:rPr>
                <w:rFonts w:ascii="Times New Roman" w:hAnsi="Times New Roman" w:eastAsia="Times New Roman"/>
                <w:color w:val="000000" w:themeColor="text1"/>
                <w:kern w:val="0"/>
                <w:sz w:val="20"/>
                <w:u w:val="single"/>
                <w14:textFill>
                  <w14:solidFill>
                    <w14:schemeClr w14:val="tx1"/>
                  </w14:solidFill>
                </w14:textFill>
              </w:rPr>
              <w:t xml:space="preserve"> </w:t>
            </w:r>
            <w:r>
              <w:rPr>
                <w:rFonts w:ascii="Times New Roman" w:hAnsi="Times New Roman" w:eastAsia="Times New Roman"/>
                <w:color w:val="000000" w:themeColor="text1"/>
                <w:kern w:val="0"/>
                <w:sz w:val="20"/>
                <w:u w:val="single"/>
                <w:lang w:val="en-GB" w:eastAsia="ko-KR"/>
                <w14:textFill>
                  <w14:solidFill>
                    <w14:schemeClr w14:val="tx1"/>
                  </w14:solidFill>
                </w14:textFill>
              </w:rPr>
              <w:t>in PSFCH-slot is 1</w:t>
            </w:r>
            <w:r>
              <w:rPr>
                <w:rFonts w:ascii="Times New Roman" w:hAnsi="Times New Roman" w:eastAsia="Times New Roman"/>
                <w:color w:val="000000" w:themeColor="text1"/>
                <w:kern w:val="0"/>
                <w:sz w:val="20"/>
                <w:u w:val="single"/>
                <w14:textFill>
                  <w14:solidFill>
                    <w14:schemeClr w14:val="tx1"/>
                  </w14:solidFill>
                </w14:textFill>
              </w:rPr>
              <w:t>0</w:t>
            </w:r>
            <w:r>
              <w:rPr>
                <w:rFonts w:ascii="Times New Roman" w:hAnsi="Times New Roman" w:eastAsia="Times New Roman"/>
                <w:color w:val="000000" w:themeColor="text1"/>
                <w:kern w:val="0"/>
                <w:sz w:val="20"/>
                <w:u w:val="single"/>
                <w:lang w:val="en-GB" w:eastAsia="ko-KR"/>
                <w14:textFill>
                  <w14:solidFill>
                    <w14:schemeClr w14:val="tx1"/>
                  </w14:solidFill>
                </w14:textFill>
              </w:rPr>
              <w:t>)</w:t>
            </w:r>
          </w:p>
        </w:tc>
      </w:tr>
    </w:tbl>
    <w:p>
      <w:pPr>
        <w:pStyle w:val="23"/>
        <w:spacing w:beforeLines="100" w:after="120" w:line="240" w:lineRule="auto"/>
        <w:jc w:val="left"/>
        <w:rPr>
          <w:szCs w:val="22"/>
          <w:lang w:val="en-US" w:eastAsia="zh-CN"/>
        </w:rPr>
      </w:pPr>
      <w:bookmarkStart w:id="29" w:name="_Toc12346"/>
      <w:bookmarkStart w:id="30" w:name="_Toc6988"/>
      <w:r>
        <w:rPr>
          <w:rFonts w:hint="eastAsia"/>
          <w:szCs w:val="22"/>
          <w:lang w:val="en-US" w:eastAsia="zh-CN"/>
        </w:rPr>
        <w:t>UE power consumption in Table 6-1 should be adopted for PSFCH slot.</w:t>
      </w:r>
      <w:bookmarkEnd w:id="29"/>
      <w:bookmarkEnd w:id="30"/>
    </w:p>
    <w:p>
      <w:pPr>
        <w:pStyle w:val="3"/>
        <w:spacing w:before="120" w:after="120" w:line="240" w:lineRule="auto"/>
        <w:ind w:left="991" w:right="210" w:hanging="991" w:hangingChars="354"/>
        <w:textAlignment w:val="center"/>
        <w:rPr>
          <w:szCs w:val="22"/>
        </w:rPr>
      </w:pPr>
      <w:r>
        <w:rPr>
          <w:rFonts w:hint="eastAsia" w:eastAsia="宋体"/>
          <w:szCs w:val="22"/>
        </w:rPr>
        <w:t>P</w:t>
      </w:r>
      <w:r>
        <w:rPr>
          <w:rFonts w:hint="eastAsia"/>
          <w:szCs w:val="22"/>
        </w:rPr>
        <w:t xml:space="preserve">ower consumption of target </w:t>
      </w:r>
      <w:r>
        <w:rPr>
          <w:rFonts w:hint="eastAsia" w:eastAsia="宋体"/>
          <w:szCs w:val="22"/>
        </w:rPr>
        <w:t>p</w:t>
      </w:r>
      <w:r>
        <w:rPr>
          <w:rFonts w:hint="eastAsia"/>
          <w:szCs w:val="22"/>
        </w:rPr>
        <w:t xml:space="preserve">ower </w:t>
      </w:r>
      <w:r>
        <w:rPr>
          <w:rFonts w:hint="eastAsia" w:eastAsia="宋体"/>
          <w:szCs w:val="22"/>
        </w:rPr>
        <w:t>s</w:t>
      </w:r>
      <w:r>
        <w:rPr>
          <w:rFonts w:hint="eastAsia"/>
          <w:szCs w:val="22"/>
        </w:rPr>
        <w:t>tate</w:t>
      </w:r>
      <w:r>
        <w:rPr>
          <w:rFonts w:hint="eastAsia" w:eastAsia="宋体"/>
          <w:szCs w:val="22"/>
        </w:rPr>
        <w:t>s</w:t>
      </w:r>
      <w:r>
        <w:rPr>
          <w:rFonts w:hint="eastAsia"/>
          <w:szCs w:val="22"/>
        </w:rPr>
        <w:t xml:space="preserve"> in PSFCH/</w:t>
      </w:r>
      <w:r>
        <w:rPr>
          <w:rFonts w:hint="eastAsia" w:eastAsia="宋体"/>
          <w:szCs w:val="22"/>
        </w:rPr>
        <w:t>non-</w:t>
      </w:r>
      <w:r>
        <w:rPr>
          <w:rFonts w:hint="eastAsia"/>
          <w:szCs w:val="22"/>
        </w:rPr>
        <w:t>PSFCH slot</w:t>
      </w:r>
    </w:p>
    <w:p>
      <w:pPr>
        <w:spacing w:before="120" w:after="120"/>
        <w:rPr>
          <w:sz w:val="20"/>
          <w:szCs w:val="22"/>
        </w:rPr>
      </w:pPr>
      <w:r>
        <w:rPr>
          <w:rFonts w:hint="eastAsia"/>
          <w:sz w:val="20"/>
          <w:szCs w:val="22"/>
        </w:rPr>
        <w:t xml:space="preserve">In RAN1 #102-e meeting, it is agreed that </w:t>
      </w:r>
      <w:r>
        <w:rPr>
          <w:rFonts w:hint="eastAsia"/>
          <w:sz w:val="20"/>
          <w:szCs w:val="22"/>
          <w:lang w:eastAsia="ko-KR"/>
        </w:rPr>
        <w:t>power consumption level of</w:t>
      </w:r>
      <w:r>
        <w:rPr>
          <w:rFonts w:hint="eastAsia"/>
          <w:sz w:val="20"/>
          <w:szCs w:val="22"/>
        </w:rPr>
        <w:t xml:space="preserve"> "</w:t>
      </w:r>
      <w:r>
        <w:rPr>
          <w:rFonts w:hint="eastAsia"/>
          <w:sz w:val="20"/>
          <w:szCs w:val="22"/>
          <w:lang w:eastAsia="ko-KR"/>
        </w:rPr>
        <w:t>1st SCI/2nd SCI RX</w:t>
      </w:r>
      <w:r>
        <w:rPr>
          <w:rFonts w:hint="eastAsia"/>
          <w:sz w:val="20"/>
          <w:szCs w:val="22"/>
        </w:rPr>
        <w:t xml:space="preserve">" </w:t>
      </w:r>
      <w:r>
        <w:rPr>
          <w:rFonts w:hint="eastAsia"/>
          <w:sz w:val="20"/>
          <w:szCs w:val="22"/>
          <w:lang w:eastAsia="ko-KR"/>
        </w:rPr>
        <w:t xml:space="preserve">is [0.7]* power consumption level of </w:t>
      </w:r>
      <w:r>
        <w:rPr>
          <w:rFonts w:hint="eastAsia"/>
          <w:sz w:val="20"/>
          <w:szCs w:val="22"/>
        </w:rPr>
        <w:t>"</w:t>
      </w:r>
      <w:r>
        <w:rPr>
          <w:rFonts w:hint="eastAsia"/>
          <w:sz w:val="20"/>
          <w:szCs w:val="22"/>
          <w:lang w:eastAsia="ko-KR"/>
        </w:rPr>
        <w:t>PSCCH/PSSCH RX</w:t>
      </w:r>
      <w:r>
        <w:rPr>
          <w:rFonts w:hint="eastAsia"/>
          <w:sz w:val="20"/>
          <w:szCs w:val="22"/>
        </w:rPr>
        <w:t xml:space="preserve">". Note that the power consumption of PSCCH/PSSCH RX may be different between non-PSFCH slot and PSFCH slot, so the definition of power consumption of "1st SCI/2nd SCI RX" is ambiguous. In order to make the definition of "1st SCI/2nd SCI RX" clearer, it is suggested that the power consumption of "1st SCI/2nd SCI RX" is </w:t>
      </w:r>
      <w:r>
        <w:rPr>
          <w:rFonts w:hint="eastAsia"/>
          <w:sz w:val="20"/>
          <w:szCs w:val="22"/>
          <w:lang w:eastAsia="ko-KR"/>
        </w:rPr>
        <w:t xml:space="preserve">[0.7]* power consumption level of </w:t>
      </w:r>
      <w:r>
        <w:rPr>
          <w:rFonts w:hint="eastAsia"/>
          <w:sz w:val="20"/>
          <w:szCs w:val="22"/>
        </w:rPr>
        <w:t>"</w:t>
      </w:r>
      <w:r>
        <w:rPr>
          <w:rFonts w:hint="eastAsia"/>
          <w:sz w:val="20"/>
          <w:szCs w:val="22"/>
          <w:lang w:eastAsia="ko-KR"/>
        </w:rPr>
        <w:t>PSCCH/PSSCH RX</w:t>
      </w:r>
      <w:r>
        <w:rPr>
          <w:rFonts w:hint="eastAsia"/>
          <w:sz w:val="20"/>
          <w:szCs w:val="22"/>
        </w:rPr>
        <w:t xml:space="preserve"> in non-PSFCH slot".</w:t>
      </w:r>
    </w:p>
    <w:p>
      <w:pPr>
        <w:pStyle w:val="23"/>
        <w:spacing w:before="120" w:after="120" w:line="240" w:lineRule="auto"/>
        <w:jc w:val="left"/>
        <w:rPr>
          <w:szCs w:val="22"/>
          <w:lang w:val="en-US" w:eastAsia="zh-CN"/>
        </w:rPr>
      </w:pPr>
      <w:bookmarkStart w:id="31" w:name="_Toc20031"/>
      <w:r>
        <w:rPr>
          <w:rFonts w:hint="eastAsia"/>
          <w:szCs w:val="22"/>
          <w:lang w:val="en-US" w:eastAsia="zh-CN"/>
        </w:rPr>
        <w:t>P</w:t>
      </w:r>
      <w:r>
        <w:rPr>
          <w:rFonts w:hint="eastAsia"/>
          <w:szCs w:val="22"/>
          <w:lang w:val="en-US" w:eastAsia="ko-KR"/>
        </w:rPr>
        <w:t>ower consumption level of</w:t>
      </w:r>
      <w:r>
        <w:rPr>
          <w:rFonts w:hint="eastAsia"/>
          <w:szCs w:val="22"/>
          <w:lang w:val="en-US" w:eastAsia="zh-CN"/>
        </w:rPr>
        <w:t xml:space="preserve"> "</w:t>
      </w:r>
      <w:r>
        <w:rPr>
          <w:rFonts w:hint="eastAsia"/>
          <w:szCs w:val="22"/>
          <w:lang w:val="en-US" w:eastAsia="ko-KR"/>
        </w:rPr>
        <w:t>1st SCI/2nd SCI RX</w:t>
      </w:r>
      <w:r>
        <w:rPr>
          <w:rFonts w:hint="eastAsia"/>
          <w:szCs w:val="22"/>
          <w:lang w:val="en-US" w:eastAsia="zh-CN"/>
        </w:rPr>
        <w:t xml:space="preserve">" </w:t>
      </w:r>
      <w:r>
        <w:rPr>
          <w:rFonts w:hint="eastAsia"/>
          <w:szCs w:val="22"/>
          <w:lang w:val="en-US" w:eastAsia="ko-KR"/>
        </w:rPr>
        <w:t xml:space="preserve">is [0.7]* power consumption level of </w:t>
      </w:r>
      <w:r>
        <w:rPr>
          <w:rFonts w:hint="eastAsia"/>
          <w:szCs w:val="22"/>
          <w:lang w:val="en-US" w:eastAsia="zh-CN"/>
        </w:rPr>
        <w:t>"</w:t>
      </w:r>
      <w:r>
        <w:rPr>
          <w:rFonts w:hint="eastAsia"/>
          <w:szCs w:val="22"/>
          <w:lang w:val="en-US" w:eastAsia="ko-KR"/>
        </w:rPr>
        <w:t>PSCCH/PSSCH RX</w:t>
      </w:r>
      <w:r>
        <w:rPr>
          <w:rFonts w:hint="eastAsia"/>
          <w:szCs w:val="22"/>
          <w:lang w:val="en-US" w:eastAsia="zh-CN"/>
        </w:rPr>
        <w:t xml:space="preserve"> in non-PSFCH slot"</w:t>
      </w:r>
      <w:bookmarkEnd w:id="31"/>
      <w:r>
        <w:rPr>
          <w:rFonts w:hint="eastAsia"/>
          <w:szCs w:val="22"/>
          <w:lang w:val="en-US" w:eastAsia="zh-CN"/>
        </w:rPr>
        <w:t>.</w:t>
      </w:r>
    </w:p>
    <w:p>
      <w:pPr>
        <w:spacing w:before="120" w:after="120"/>
        <w:rPr>
          <w:sz w:val="20"/>
          <w:szCs w:val="22"/>
        </w:rPr>
      </w:pPr>
      <w:r>
        <w:rPr>
          <w:rFonts w:hint="eastAsia"/>
          <w:sz w:val="20"/>
          <w:szCs w:val="22"/>
          <w:lang w:eastAsia="ko-KR"/>
        </w:rPr>
        <w:t>For the common understanding among companies,</w:t>
      </w:r>
      <w:r>
        <w:rPr>
          <w:rFonts w:hint="eastAsia"/>
          <w:sz w:val="20"/>
          <w:szCs w:val="22"/>
        </w:rPr>
        <w:t xml:space="preserve"> it is necessary to clarify how to obtain power consumption for the combination of two RX power states in a slot.</w:t>
      </w:r>
    </w:p>
    <w:p>
      <w:pPr>
        <w:spacing w:before="120" w:after="120"/>
        <w:rPr>
          <w:sz w:val="20"/>
          <w:szCs w:val="22"/>
        </w:rPr>
      </w:pPr>
      <w:r>
        <w:rPr>
          <w:rFonts w:hint="eastAsia"/>
          <w:sz w:val="20"/>
          <w:szCs w:val="22"/>
        </w:rPr>
        <w:t xml:space="preserve">For </w:t>
      </w:r>
      <w:r>
        <w:rPr>
          <w:sz w:val="20"/>
          <w:szCs w:val="22"/>
        </w:rPr>
        <w:t xml:space="preserve">the combination of </w:t>
      </w:r>
      <w:r>
        <w:rPr>
          <w:rFonts w:hint="eastAsia"/>
          <w:sz w:val="20"/>
          <w:szCs w:val="22"/>
        </w:rPr>
        <w:t>"</w:t>
      </w:r>
      <w:r>
        <w:rPr>
          <w:sz w:val="20"/>
          <w:szCs w:val="22"/>
        </w:rPr>
        <w:t>PSCCH/PSSCH RX</w:t>
      </w:r>
      <w:r>
        <w:rPr>
          <w:rFonts w:hint="eastAsia"/>
          <w:sz w:val="20"/>
          <w:szCs w:val="22"/>
        </w:rPr>
        <w:t>"</w:t>
      </w:r>
      <w:r>
        <w:rPr>
          <w:sz w:val="20"/>
          <w:szCs w:val="22"/>
        </w:rPr>
        <w:t xml:space="preserve"> and </w:t>
      </w:r>
      <w:r>
        <w:rPr>
          <w:rFonts w:hint="eastAsia"/>
          <w:sz w:val="20"/>
          <w:szCs w:val="22"/>
        </w:rPr>
        <w:t>"</w:t>
      </w:r>
      <w:r>
        <w:rPr>
          <w:sz w:val="20"/>
          <w:szCs w:val="22"/>
        </w:rPr>
        <w:t>1st SCI/2nd SCI Rx</w:t>
      </w:r>
      <w:r>
        <w:rPr>
          <w:rFonts w:hint="eastAsia"/>
          <w:sz w:val="20"/>
          <w:szCs w:val="22"/>
        </w:rPr>
        <w:t>"</w:t>
      </w:r>
      <w:r>
        <w:rPr>
          <w:sz w:val="20"/>
          <w:szCs w:val="22"/>
        </w:rPr>
        <w:t xml:space="preserve"> in a slot</w:t>
      </w:r>
      <w:r>
        <w:rPr>
          <w:rFonts w:hint="eastAsia"/>
          <w:sz w:val="20"/>
          <w:szCs w:val="22"/>
        </w:rPr>
        <w:t xml:space="preserve">, it is suggested that the power consumption level of the combination of these two RX states is the same as that of </w:t>
      </w:r>
      <w:r>
        <w:rPr>
          <w:sz w:val="20"/>
          <w:szCs w:val="22"/>
        </w:rPr>
        <w:t>“PSCCH/PSSCH RX”</w:t>
      </w:r>
      <w:r>
        <w:rPr>
          <w:rFonts w:hint="eastAsia"/>
          <w:sz w:val="20"/>
          <w:szCs w:val="22"/>
        </w:rPr>
        <w:t xml:space="preserve">. </w:t>
      </w:r>
    </w:p>
    <w:p>
      <w:pPr>
        <w:spacing w:before="120" w:after="120"/>
        <w:rPr>
          <w:color w:val="000000" w:themeColor="text1"/>
          <w:sz w:val="20"/>
          <w:szCs w:val="22"/>
          <w14:textFill>
            <w14:solidFill>
              <w14:schemeClr w14:val="tx1"/>
            </w14:solidFill>
          </w14:textFill>
        </w:rPr>
      </w:pPr>
      <w:r>
        <w:rPr>
          <w:sz w:val="20"/>
          <w:szCs w:val="22"/>
        </w:rPr>
        <w:t>In RAN1 #103-e meeting, it has been concluded how to get the power consumption level of “PSCCH/PSSCH RX</w:t>
      </w:r>
      <w:r>
        <w:rPr>
          <w:rFonts w:hint="eastAsia"/>
          <w:sz w:val="20"/>
          <w:szCs w:val="22"/>
        </w:rPr>
        <w:t>"</w:t>
      </w:r>
      <w:r>
        <w:rPr>
          <w:sz w:val="20"/>
          <w:szCs w:val="22"/>
        </w:rPr>
        <w:t xml:space="preserve"> in </w:t>
      </w:r>
      <w:r>
        <w:rPr>
          <w:rFonts w:hint="eastAsia"/>
          <w:sz w:val="20"/>
          <w:szCs w:val="22"/>
        </w:rPr>
        <w:t>non-PSFCH slot. "PSCCH/PSSCH RX" i</w:t>
      </w:r>
      <w:r>
        <w:rPr>
          <w:rFonts w:hint="eastAsia"/>
          <w:sz w:val="20"/>
          <w:szCs w:val="22"/>
          <w:lang w:eastAsia="ko-KR"/>
        </w:rPr>
        <w:t xml:space="preserve">n </w:t>
      </w:r>
      <w:r>
        <w:rPr>
          <w:rFonts w:hint="eastAsia"/>
          <w:sz w:val="20"/>
          <w:szCs w:val="22"/>
        </w:rPr>
        <w:t xml:space="preserve">a </w:t>
      </w:r>
      <w:r>
        <w:rPr>
          <w:rFonts w:hint="eastAsia"/>
          <w:sz w:val="20"/>
          <w:szCs w:val="22"/>
          <w:lang w:eastAsia="ko-KR"/>
        </w:rPr>
        <w:t>slot</w:t>
      </w:r>
      <w:r>
        <w:rPr>
          <w:rFonts w:hint="eastAsia"/>
          <w:sz w:val="20"/>
          <w:szCs w:val="22"/>
        </w:rPr>
        <w:t xml:space="preserve"> can be shown in Figure 6-1. According to our understanding, the power </w:t>
      </w:r>
      <w:r>
        <w:rPr>
          <w:rFonts w:hint="eastAsia"/>
          <w:color w:val="000000" w:themeColor="text1"/>
          <w:sz w:val="20"/>
          <w:szCs w:val="22"/>
          <w14:textFill>
            <w14:solidFill>
              <w14:schemeClr w14:val="tx1"/>
            </w14:solidFill>
          </w14:textFill>
        </w:rPr>
        <w:t>consumption level of "</w:t>
      </w:r>
      <w:r>
        <w:rPr>
          <w:color w:val="000000" w:themeColor="text1"/>
          <w:sz w:val="20"/>
          <w:szCs w:val="22"/>
          <w14:textFill>
            <w14:solidFill>
              <w14:schemeClr w14:val="tx1"/>
            </w14:solidFill>
          </w14:textFill>
        </w:rPr>
        <w:t>PSCCH/PSSCH RX</w:t>
      </w:r>
      <w:r>
        <w:rPr>
          <w:rFonts w:hint="eastAsia"/>
          <w:color w:val="000000" w:themeColor="text1"/>
          <w:sz w:val="20"/>
          <w:szCs w:val="22"/>
          <w14:textFill>
            <w14:solidFill>
              <w14:schemeClr w14:val="tx1"/>
            </w14:solidFill>
          </w14:textFill>
        </w:rPr>
        <w:t>"</w:t>
      </w:r>
      <w:r>
        <w:rPr>
          <w:color w:val="000000" w:themeColor="text1"/>
          <w:sz w:val="20"/>
          <w:szCs w:val="22"/>
          <w14:textFill>
            <w14:solidFill>
              <w14:schemeClr w14:val="tx1"/>
            </w14:solidFill>
          </w14:textFill>
        </w:rPr>
        <w:t xml:space="preserve"> </w:t>
      </w:r>
      <w:r>
        <w:rPr>
          <w:rFonts w:hint="eastAsia"/>
          <w:color w:val="000000" w:themeColor="text1"/>
          <w:sz w:val="20"/>
          <w:szCs w:val="22"/>
          <w14:textFill>
            <w14:solidFill>
              <w14:schemeClr w14:val="tx1"/>
            </w14:solidFill>
          </w14:textFill>
        </w:rPr>
        <w:t>includes the power consumption of both "</w:t>
      </w:r>
      <w:r>
        <w:rPr>
          <w:color w:val="000000" w:themeColor="text1"/>
          <w:sz w:val="20"/>
          <w:szCs w:val="22"/>
          <w14:textFill>
            <w14:solidFill>
              <w14:schemeClr w14:val="tx1"/>
            </w14:solidFill>
          </w14:textFill>
        </w:rPr>
        <w:t>PSCCH</w:t>
      </w:r>
      <w:r>
        <w:rPr>
          <w:rFonts w:hint="eastAsia"/>
          <w:color w:val="000000" w:themeColor="text1"/>
          <w:sz w:val="20"/>
          <w:szCs w:val="22"/>
          <w14:textFill>
            <w14:solidFill>
              <w14:schemeClr w14:val="tx1"/>
            </w14:solidFill>
          </w14:textFill>
        </w:rPr>
        <w:t xml:space="preserve"> and associated </w:t>
      </w:r>
      <w:r>
        <w:rPr>
          <w:color w:val="000000" w:themeColor="text1"/>
          <w:sz w:val="20"/>
          <w:szCs w:val="22"/>
          <w14:textFill>
            <w14:solidFill>
              <w14:schemeClr w14:val="tx1"/>
            </w14:solidFill>
          </w14:textFill>
        </w:rPr>
        <w:t>PSSCH RX</w:t>
      </w:r>
      <w:r>
        <w:rPr>
          <w:rFonts w:hint="eastAsia"/>
          <w:color w:val="000000" w:themeColor="text1"/>
          <w:sz w:val="20"/>
          <w:szCs w:val="22"/>
          <w14:textFill>
            <w14:solidFill>
              <w14:schemeClr w14:val="tx1"/>
            </w14:solidFill>
          </w14:textFill>
        </w:rPr>
        <w:t xml:space="preserve">" and "1st SCI/2nd SCI monitoring". </w:t>
      </w:r>
      <w:r>
        <w:rPr>
          <w:color w:val="000000" w:themeColor="text1"/>
          <w:sz w:val="20"/>
          <w:szCs w:val="22"/>
          <w14:textFill>
            <w14:solidFill>
              <w14:schemeClr w14:val="tx1"/>
            </w14:solidFill>
          </w14:textFill>
        </w:rPr>
        <w:t xml:space="preserve">Therefore, it is not necessary to define the additional power consumption </w:t>
      </w:r>
      <w:r>
        <w:rPr>
          <w:rFonts w:hint="eastAsia"/>
          <w:color w:val="000000" w:themeColor="text1"/>
          <w:sz w:val="20"/>
          <w:szCs w:val="22"/>
          <w14:textFill>
            <w14:solidFill>
              <w14:schemeClr w14:val="tx1"/>
            </w14:solidFill>
          </w14:textFill>
        </w:rPr>
        <w:t xml:space="preserve">for </w:t>
      </w:r>
      <w:r>
        <w:rPr>
          <w:color w:val="000000" w:themeColor="text1"/>
          <w:sz w:val="20"/>
          <w:szCs w:val="22"/>
          <w14:textFill>
            <w14:solidFill>
              <w14:schemeClr w14:val="tx1"/>
            </w14:solidFill>
          </w14:textFill>
        </w:rPr>
        <w:t xml:space="preserve">the combination of </w:t>
      </w:r>
      <w:r>
        <w:rPr>
          <w:rFonts w:hint="eastAsia"/>
          <w:color w:val="000000" w:themeColor="text1"/>
          <w:sz w:val="20"/>
          <w:szCs w:val="22"/>
          <w14:textFill>
            <w14:solidFill>
              <w14:schemeClr w14:val="tx1"/>
            </w14:solidFill>
          </w14:textFill>
        </w:rPr>
        <w:t>"</w:t>
      </w:r>
      <w:r>
        <w:rPr>
          <w:color w:val="000000" w:themeColor="text1"/>
          <w:sz w:val="20"/>
          <w:szCs w:val="22"/>
          <w14:textFill>
            <w14:solidFill>
              <w14:schemeClr w14:val="tx1"/>
            </w14:solidFill>
          </w14:textFill>
        </w:rPr>
        <w:t>PSCCH</w:t>
      </w:r>
      <w:r>
        <w:rPr>
          <w:rFonts w:hint="eastAsia"/>
          <w:color w:val="000000" w:themeColor="text1"/>
          <w:sz w:val="20"/>
          <w:szCs w:val="22"/>
          <w14:textFill>
            <w14:solidFill>
              <w14:schemeClr w14:val="tx1"/>
            </w14:solidFill>
          </w14:textFill>
        </w:rPr>
        <w:t xml:space="preserve"> and associated </w:t>
      </w:r>
      <w:r>
        <w:rPr>
          <w:color w:val="000000" w:themeColor="text1"/>
          <w:sz w:val="20"/>
          <w:szCs w:val="22"/>
          <w14:textFill>
            <w14:solidFill>
              <w14:schemeClr w14:val="tx1"/>
            </w14:solidFill>
          </w14:textFill>
        </w:rPr>
        <w:t>PSSCH RX</w:t>
      </w:r>
      <w:r>
        <w:rPr>
          <w:rFonts w:hint="eastAsia"/>
          <w:color w:val="000000" w:themeColor="text1"/>
          <w:sz w:val="20"/>
          <w:szCs w:val="22"/>
          <w14:textFill>
            <w14:solidFill>
              <w14:schemeClr w14:val="tx1"/>
            </w14:solidFill>
          </w14:textFill>
        </w:rPr>
        <w:t>"</w:t>
      </w:r>
      <w:r>
        <w:rPr>
          <w:color w:val="000000" w:themeColor="text1"/>
          <w:sz w:val="20"/>
          <w:szCs w:val="22"/>
          <w14:textFill>
            <w14:solidFill>
              <w14:schemeClr w14:val="tx1"/>
            </w14:solidFill>
          </w14:textFill>
        </w:rPr>
        <w:t xml:space="preserve"> and "1st SCI/2nd SCI RX"</w:t>
      </w:r>
      <w:r>
        <w:rPr>
          <w:rFonts w:hint="eastAsia"/>
          <w:color w:val="000000" w:themeColor="text1"/>
          <w:sz w:val="20"/>
          <w:szCs w:val="22"/>
          <w14:textFill>
            <w14:solidFill>
              <w14:schemeClr w14:val="tx1"/>
            </w14:solidFill>
          </w14:textFill>
        </w:rPr>
        <w:t>.</w:t>
      </w:r>
    </w:p>
    <w:p>
      <w:pPr>
        <w:spacing w:before="120" w:after="120"/>
        <w:rPr>
          <w:sz w:val="20"/>
          <w:szCs w:val="22"/>
        </w:rPr>
      </w:pPr>
      <w:r>
        <w:rPr>
          <w:rFonts w:hint="eastAsia"/>
          <w:sz w:val="20"/>
          <w:szCs w:val="22"/>
        </w:rPr>
        <w:t>In addition, as seen in figure 6-1, the number of "</w:t>
      </w:r>
      <w:r>
        <w:rPr>
          <w:sz w:val="20"/>
          <w:szCs w:val="22"/>
        </w:rPr>
        <w:t>PSCCH/PSSCH RX</w:t>
      </w:r>
      <w:r>
        <w:rPr>
          <w:rFonts w:hint="eastAsia"/>
          <w:sz w:val="20"/>
          <w:szCs w:val="22"/>
        </w:rPr>
        <w:t xml:space="preserve">" in a slot is different in Figure 6-1(a) and Figure 6-1(b). </w:t>
      </w:r>
      <w:r>
        <w:rPr>
          <w:sz w:val="20"/>
          <w:szCs w:val="22"/>
        </w:rPr>
        <w:t xml:space="preserve">One question is whether it is necessary to define different power consumption for different numbers </w:t>
      </w:r>
      <w:r>
        <w:rPr>
          <w:rFonts w:hint="eastAsia"/>
          <w:sz w:val="20"/>
          <w:szCs w:val="22"/>
        </w:rPr>
        <w:t xml:space="preserve">of </w:t>
      </w:r>
      <w:r>
        <w:rPr>
          <w:rFonts w:hint="eastAsia"/>
          <w:color w:val="000000" w:themeColor="text1"/>
          <w:sz w:val="20"/>
          <w:szCs w:val="22"/>
          <w14:textFill>
            <w14:solidFill>
              <w14:schemeClr w14:val="tx1"/>
            </w14:solidFill>
          </w14:textFill>
        </w:rPr>
        <w:t>"</w:t>
      </w:r>
      <w:r>
        <w:rPr>
          <w:color w:val="000000" w:themeColor="text1"/>
          <w:sz w:val="20"/>
          <w:szCs w:val="22"/>
          <w14:textFill>
            <w14:solidFill>
              <w14:schemeClr w14:val="tx1"/>
            </w14:solidFill>
          </w14:textFill>
        </w:rPr>
        <w:t>PSCCH/PSSCH RX</w:t>
      </w:r>
      <w:r>
        <w:rPr>
          <w:rFonts w:hint="eastAsia"/>
          <w:color w:val="000000" w:themeColor="text1"/>
          <w:sz w:val="20"/>
          <w:szCs w:val="22"/>
          <w14:textFill>
            <w14:solidFill>
              <w14:schemeClr w14:val="tx1"/>
            </w14:solidFill>
          </w14:textFill>
        </w:rPr>
        <w:t>"</w:t>
      </w:r>
      <w:r>
        <w:rPr>
          <w:color w:val="000000" w:themeColor="text1"/>
          <w:sz w:val="20"/>
          <w:szCs w:val="22"/>
          <w14:textFill>
            <w14:solidFill>
              <w14:schemeClr w14:val="tx1"/>
            </w14:solidFill>
          </w14:textFill>
        </w:rPr>
        <w:t xml:space="preserve"> numbers in a slot.</w:t>
      </w:r>
      <w:r>
        <w:rPr>
          <w:rFonts w:hint="eastAsia"/>
          <w:color w:val="000000" w:themeColor="text1"/>
          <w:sz w:val="20"/>
          <w:szCs w:val="22"/>
          <w14:textFill>
            <w14:solidFill>
              <w14:schemeClr w14:val="tx1"/>
            </w14:solidFill>
          </w14:textFill>
        </w:rPr>
        <w:t xml:space="preserve"> For simplicity, it is suggested that the same power consumption should be assumed for different "</w:t>
      </w:r>
      <w:r>
        <w:rPr>
          <w:color w:val="000000" w:themeColor="text1"/>
          <w:sz w:val="20"/>
          <w:szCs w:val="22"/>
          <w14:textFill>
            <w14:solidFill>
              <w14:schemeClr w14:val="tx1"/>
            </w14:solidFill>
          </w14:textFill>
        </w:rPr>
        <w:t>PSCCH/PSSCH RX</w:t>
      </w:r>
      <w:r>
        <w:rPr>
          <w:rFonts w:hint="eastAsia"/>
          <w:color w:val="000000" w:themeColor="text1"/>
          <w:sz w:val="20"/>
          <w:szCs w:val="22"/>
          <w14:textFill>
            <w14:solidFill>
              <w14:schemeClr w14:val="tx1"/>
            </w14:solidFill>
          </w14:textFill>
        </w:rPr>
        <w:t>" numbers in a slot. In addition, for the power consumption of "1st SCI/2nd</w:t>
      </w:r>
      <w:r>
        <w:rPr>
          <w:rFonts w:hint="eastAsia"/>
          <w:sz w:val="20"/>
          <w:szCs w:val="22"/>
        </w:rPr>
        <w:t xml:space="preserve"> SCI RX", the power consumption does not vary with the number of blind detections of "1st SCI/2nd SCI RX". Therefore, it is not necessary to define different power consumption for different "</w:t>
      </w:r>
      <w:r>
        <w:rPr>
          <w:sz w:val="20"/>
          <w:szCs w:val="22"/>
        </w:rPr>
        <w:t>PSCCH/PSSCH RX</w:t>
      </w:r>
      <w:r>
        <w:rPr>
          <w:rFonts w:hint="eastAsia"/>
          <w:sz w:val="20"/>
          <w:szCs w:val="22"/>
        </w:rPr>
        <w:t>" numbers in a slot.</w:t>
      </w:r>
    </w:p>
    <w:p>
      <w:pPr>
        <w:spacing w:before="120" w:after="120"/>
        <w:jc w:val="center"/>
      </w:pPr>
      <w:r>
        <w:object>
          <v:shape id="_x0000_i1025" o:spt="75" type="#_x0000_t75" style="height:269pt;width:321.5pt;" o:ole="t" filled="f" o:preferrelative="t" stroked="f" coordsize="21600,21600">
            <v:path/>
            <v:fill on="f" focussize="0,0"/>
            <v:stroke on="f" joinstyle="miter"/>
            <v:imagedata r:id="rId11" o:title=""/>
            <o:lock v:ext="edit" aspectratio="t"/>
            <w10:wrap type="none"/>
            <w10:anchorlock/>
          </v:shape>
          <o:OLEObject Type="Embed" ProgID="Visio.Drawing.11" ShapeID="_x0000_i1025" DrawAspect="Content" ObjectID="_1468075725" r:id="rId10">
            <o:LockedField>false</o:LockedField>
          </o:OLEObject>
        </w:object>
      </w:r>
    </w:p>
    <w:p>
      <w:pPr>
        <w:spacing w:before="120" w:after="120"/>
        <w:jc w:val="center"/>
        <w:rPr>
          <w:b/>
          <w:bCs/>
        </w:rPr>
      </w:pPr>
      <w:r>
        <w:rPr>
          <w:rFonts w:hint="eastAsia"/>
          <w:b/>
          <w:bCs/>
          <w:sz w:val="20"/>
        </w:rPr>
        <w:t xml:space="preserve">Figure 6-1 </w:t>
      </w:r>
      <w:r>
        <w:rPr>
          <w:rFonts w:hint="eastAsia"/>
          <w:b/>
          <w:bCs/>
        </w:rPr>
        <w:t xml:space="preserve">Receiving processing for a slot containing "PSCCH/PSSCH RX" </w:t>
      </w:r>
    </w:p>
    <w:p>
      <w:pPr>
        <w:pStyle w:val="24"/>
        <w:spacing w:before="120" w:after="120" w:line="240" w:lineRule="auto"/>
        <w:rPr>
          <w:rFonts w:eastAsia="宋体"/>
          <w:b w:val="0"/>
          <w:bCs w:val="0"/>
          <w:i w:val="0"/>
          <w:iCs w:val="0"/>
          <w:color w:val="000000" w:themeColor="text1"/>
          <w:kern w:val="0"/>
          <w:sz w:val="21"/>
          <w:szCs w:val="21"/>
          <w:shd w:val="clear" w:color="auto" w:fill="FFFFFF"/>
          <w:lang w:val="en-US" w:eastAsia="zh-CN"/>
          <w14:textFill>
            <w14:solidFill>
              <w14:schemeClr w14:val="tx1"/>
            </w14:solidFill>
          </w14:textFill>
        </w:rPr>
      </w:pPr>
      <w:bookmarkStart w:id="32" w:name="_Toc16191"/>
      <w:r>
        <w:rPr>
          <w:rFonts w:hint="eastAsia"/>
          <w:color w:val="000000" w:themeColor="text1"/>
          <w:szCs w:val="22"/>
          <w:lang w:val="en-US" w:eastAsia="zh-CN"/>
          <w14:textFill>
            <w14:solidFill>
              <w14:schemeClr w14:val="tx1"/>
            </w14:solidFill>
          </w14:textFill>
        </w:rPr>
        <w:t>The power consumption level for a slot containing both "</w:t>
      </w:r>
      <w:r>
        <w:rPr>
          <w:color w:val="000000" w:themeColor="text1"/>
          <w:szCs w:val="22"/>
          <w:lang w:val="en-US" w:eastAsia="zh-CN"/>
          <w14:textFill>
            <w14:solidFill>
              <w14:schemeClr w14:val="tx1"/>
            </w14:solidFill>
          </w14:textFill>
        </w:rPr>
        <w:t>PSCCH</w:t>
      </w:r>
      <w:r>
        <w:rPr>
          <w:rFonts w:hint="eastAsia"/>
          <w:color w:val="000000" w:themeColor="text1"/>
          <w:szCs w:val="22"/>
          <w:lang w:val="en-US" w:eastAsia="zh-CN"/>
          <w14:textFill>
            <w14:solidFill>
              <w14:schemeClr w14:val="tx1"/>
            </w14:solidFill>
          </w14:textFill>
        </w:rPr>
        <w:t xml:space="preserve"> and associated </w:t>
      </w:r>
      <w:r>
        <w:rPr>
          <w:color w:val="000000" w:themeColor="text1"/>
          <w:szCs w:val="22"/>
          <w:lang w:val="en-US" w:eastAsia="zh-CN"/>
          <w14:textFill>
            <w14:solidFill>
              <w14:schemeClr w14:val="tx1"/>
            </w14:solidFill>
          </w14:textFill>
        </w:rPr>
        <w:t>PSSCH RX</w:t>
      </w:r>
      <w:r>
        <w:rPr>
          <w:rFonts w:hint="eastAsia"/>
          <w:color w:val="000000" w:themeColor="text1"/>
          <w:szCs w:val="22"/>
          <w:lang w:val="en-US" w:eastAsia="zh-CN"/>
          <w14:textFill>
            <w14:solidFill>
              <w14:schemeClr w14:val="tx1"/>
            </w14:solidFill>
          </w14:textFill>
        </w:rPr>
        <w:t>"</w:t>
      </w:r>
      <w:r>
        <w:rPr>
          <w:color w:val="000000" w:themeColor="text1"/>
          <w:szCs w:val="22"/>
          <w:lang w:val="en-US" w:eastAsia="zh-CN"/>
          <w14:textFill>
            <w14:solidFill>
              <w14:schemeClr w14:val="tx1"/>
            </w14:solidFill>
          </w14:textFill>
        </w:rPr>
        <w:t xml:space="preserve"> and "1st SCI/2nd SCI RX"</w:t>
      </w:r>
      <w:r>
        <w:rPr>
          <w:rFonts w:hint="eastAsia"/>
          <w:color w:val="000000" w:themeColor="text1"/>
          <w:szCs w:val="22"/>
          <w:lang w:val="en-US" w:eastAsia="zh-CN"/>
          <w14:textFill>
            <w14:solidFill>
              <w14:schemeClr w14:val="tx1"/>
            </w14:solidFill>
          </w14:textFill>
        </w:rPr>
        <w:t xml:space="preserve"> has been defined.</w:t>
      </w:r>
      <w:bookmarkEnd w:id="32"/>
    </w:p>
    <w:p>
      <w:pPr>
        <w:pStyle w:val="23"/>
        <w:spacing w:before="120" w:after="120" w:line="240" w:lineRule="auto"/>
        <w:rPr>
          <w:color w:val="000000" w:themeColor="text1"/>
          <w:szCs w:val="22"/>
          <w:lang w:val="en-US" w:eastAsia="zh-CN"/>
          <w14:textFill>
            <w14:solidFill>
              <w14:schemeClr w14:val="tx1"/>
            </w14:solidFill>
          </w14:textFill>
        </w:rPr>
      </w:pPr>
      <w:bookmarkStart w:id="33" w:name="_Toc27589"/>
      <w:r>
        <w:rPr>
          <w:rFonts w:hint="eastAsia"/>
          <w:color w:val="000000" w:themeColor="text1"/>
          <w:szCs w:val="22"/>
          <w:lang w:val="en-US" w:eastAsia="zh-CN"/>
          <w14:textFill>
            <w14:solidFill>
              <w14:schemeClr w14:val="tx1"/>
            </w14:solidFill>
          </w14:textFill>
        </w:rPr>
        <w:t>For simplify, the same power consumption level is assumed for different numbers of "</w:t>
      </w:r>
      <w:r>
        <w:rPr>
          <w:color w:val="000000" w:themeColor="text1"/>
          <w:szCs w:val="22"/>
          <w:lang w:val="en-US" w:eastAsia="zh-CN"/>
          <w14:textFill>
            <w14:solidFill>
              <w14:schemeClr w14:val="tx1"/>
            </w14:solidFill>
          </w14:textFill>
        </w:rPr>
        <w:t>PSCCH/PSSCH RX</w:t>
      </w:r>
      <w:r>
        <w:rPr>
          <w:rFonts w:hint="eastAsia"/>
          <w:color w:val="000000" w:themeColor="text1"/>
          <w:szCs w:val="22"/>
          <w:lang w:val="en-US" w:eastAsia="zh-CN"/>
          <w14:textFill>
            <w14:solidFill>
              <w14:schemeClr w14:val="tx1"/>
            </w14:solidFill>
          </w14:textFill>
        </w:rPr>
        <w:t>" in a slot.</w:t>
      </w:r>
      <w:bookmarkEnd w:id="33"/>
    </w:p>
    <w:p>
      <w:pPr>
        <w:spacing w:before="120" w:after="120"/>
        <w:rPr>
          <w:color w:val="000000" w:themeColor="text1"/>
          <w:sz w:val="20"/>
          <w:szCs w:val="22"/>
          <w14:textFill>
            <w14:solidFill>
              <w14:schemeClr w14:val="tx1"/>
            </w14:solidFill>
          </w14:textFill>
        </w:rPr>
      </w:pPr>
      <w:r>
        <w:rPr>
          <w:rFonts w:hint="eastAsia"/>
          <w:color w:val="000000" w:themeColor="text1"/>
          <w:sz w:val="20"/>
          <w:szCs w:val="22"/>
          <w14:textFill>
            <w14:solidFill>
              <w14:schemeClr w14:val="tx1"/>
            </w14:solidFill>
          </w14:textFill>
        </w:rPr>
        <w:t xml:space="preserve">For power consumption statistics, there is the combination of "GNSS process" and </w:t>
      </w:r>
      <w:r>
        <w:rPr>
          <w:color w:val="000000" w:themeColor="text1"/>
          <w:sz w:val="20"/>
          <w:szCs w:val="22"/>
          <w14:textFill>
            <w14:solidFill>
              <w14:schemeClr w14:val="tx1"/>
            </w14:solidFill>
          </w14:textFill>
        </w:rPr>
        <w:t>“</w:t>
      </w:r>
      <w:r>
        <w:rPr>
          <w:rFonts w:hint="eastAsia"/>
          <w:color w:val="000000" w:themeColor="text1"/>
          <w:sz w:val="20"/>
          <w:szCs w:val="22"/>
          <w14:textFill>
            <w14:solidFill>
              <w14:schemeClr w14:val="tx1"/>
            </w14:solidFill>
          </w14:textFill>
        </w:rPr>
        <w:t>one or more other power states</w:t>
      </w:r>
      <w:r>
        <w:rPr>
          <w:color w:val="000000" w:themeColor="text1"/>
          <w:sz w:val="20"/>
          <w:szCs w:val="22"/>
          <w14:textFill>
            <w14:solidFill>
              <w14:schemeClr w14:val="tx1"/>
            </w14:solidFill>
          </w14:textFill>
        </w:rPr>
        <w:t>”</w:t>
      </w:r>
      <w:r>
        <w:rPr>
          <w:rFonts w:hint="eastAsia"/>
          <w:color w:val="000000" w:themeColor="text1"/>
          <w:sz w:val="20"/>
          <w:szCs w:val="22"/>
          <w14:textFill>
            <w14:solidFill>
              <w14:schemeClr w14:val="tx1"/>
            </w14:solidFill>
          </w14:textFill>
        </w:rPr>
        <w:t xml:space="preserve"> in a slot. It is necessary to clarify how to define power consumption for this case. Considering that "GNSS processing" and "SL communication" are independent modules, it is suggested that the power consumption level of a combination of "GNSS process" and "one or more other power states" is a sum of power consumption level of "GNSS processing" and "one or more other power states" in a slot.</w:t>
      </w:r>
    </w:p>
    <w:p>
      <w:pPr>
        <w:pStyle w:val="23"/>
        <w:spacing w:before="120" w:after="120" w:line="240" w:lineRule="auto"/>
        <w:rPr>
          <w:color w:val="000000" w:themeColor="text1"/>
          <w:szCs w:val="22"/>
          <w:lang w:val="en-US" w:eastAsia="zh-CN"/>
          <w14:textFill>
            <w14:solidFill>
              <w14:schemeClr w14:val="tx1"/>
            </w14:solidFill>
          </w14:textFill>
        </w:rPr>
      </w:pPr>
      <w:bookmarkStart w:id="34" w:name="_Toc17829"/>
      <w:r>
        <w:rPr>
          <w:rFonts w:hint="eastAsia"/>
          <w:color w:val="000000" w:themeColor="text1"/>
          <w:szCs w:val="22"/>
          <w:lang w:val="en-US" w:eastAsia="zh-CN"/>
          <w14:textFill>
            <w14:solidFill>
              <w14:schemeClr w14:val="tx1"/>
            </w14:solidFill>
          </w14:textFill>
        </w:rPr>
        <w:t>For the power consumption level of a combination of "GNSS processing" and "one or more other power states", power consumption level is a sum of power consumption level of "GNSS processing" and "one or more other power states" in a slot.</w:t>
      </w:r>
      <w:bookmarkEnd w:id="34"/>
    </w:p>
    <w:p>
      <w:pPr>
        <w:tabs>
          <w:tab w:val="left" w:pos="420"/>
        </w:tabs>
        <w:spacing w:before="120" w:after="120" w:line="240" w:lineRule="auto"/>
        <w:rPr>
          <w:color w:val="000000" w:themeColor="text1"/>
          <w:sz w:val="20"/>
          <w:szCs w:val="22"/>
          <w14:textFill>
            <w14:solidFill>
              <w14:schemeClr w14:val="tx1"/>
            </w14:solidFill>
          </w14:textFill>
        </w:rPr>
      </w:pPr>
    </w:p>
    <w:p>
      <w:pPr>
        <w:pStyle w:val="2"/>
        <w:spacing w:before="120" w:after="120" w:line="240" w:lineRule="auto"/>
        <w:ind w:left="0"/>
        <w:rPr>
          <w:rFonts w:eastAsia="宋体"/>
        </w:rPr>
      </w:pPr>
      <w:r>
        <w:rPr>
          <w:rFonts w:hint="eastAsia" w:eastAsia="宋体"/>
        </w:rPr>
        <w:t>Conclusion</w:t>
      </w:r>
    </w:p>
    <w:p>
      <w:pPr>
        <w:spacing w:before="120" w:after="120"/>
        <w:rPr>
          <w:sz w:val="20"/>
          <w:szCs w:val="22"/>
        </w:rPr>
      </w:pPr>
      <w:r>
        <w:rPr>
          <w:rFonts w:hint="eastAsia"/>
          <w:sz w:val="20"/>
          <w:szCs w:val="22"/>
        </w:rPr>
        <w:t>This contribution discusses sidelink evaluation methodology for power saving. Based on these discussions, we have the following observation</w:t>
      </w:r>
      <w:r>
        <w:rPr>
          <w:sz w:val="20"/>
          <w:szCs w:val="22"/>
        </w:rPr>
        <w:t>s</w:t>
      </w:r>
      <w:r>
        <w:rPr>
          <w:rFonts w:hint="eastAsia"/>
          <w:sz w:val="20"/>
          <w:szCs w:val="22"/>
        </w:rPr>
        <w:t xml:space="preserve"> and proposals.</w:t>
      </w:r>
    </w:p>
    <w:p>
      <w:pPr>
        <w:pStyle w:val="13"/>
        <w:tabs>
          <w:tab w:val="right" w:leader="dot" w:pos="9660"/>
        </w:tabs>
        <w:spacing w:before="120" w:after="120"/>
      </w:pPr>
      <w:r>
        <w:rPr>
          <w:sz w:val="21"/>
          <w:szCs w:val="22"/>
        </w:rPr>
        <w:fldChar w:fldCharType="begin"/>
      </w:r>
      <w:r>
        <w:rPr>
          <w:sz w:val="21"/>
          <w:szCs w:val="22"/>
        </w:rPr>
        <w:instrText xml:space="preserve">TOC \n  \t "YJ-Observation,1,sub-observation,2" \h</w:instrText>
      </w:r>
      <w:r>
        <w:rPr>
          <w:sz w:val="21"/>
          <w:szCs w:val="22"/>
        </w:rPr>
        <w:fldChar w:fldCharType="separate"/>
      </w:r>
      <w:r>
        <w:fldChar w:fldCharType="begin"/>
      </w:r>
      <w:r>
        <w:instrText xml:space="preserve"> HYPERLINK \l "_Toc24229" </w:instrText>
      </w:r>
      <w:r>
        <w:fldChar w:fldCharType="separate"/>
      </w:r>
      <w:r>
        <w:rPr>
          <w:rFonts w:eastAsia="宋体"/>
          <w:bCs/>
          <w:iCs/>
          <w:szCs w:val="22"/>
        </w:rPr>
        <w:t xml:space="preserve">Observation 1: </w:t>
      </w:r>
      <w:r>
        <w:rPr>
          <w:rFonts w:hint="eastAsia" w:eastAsia="宋体"/>
          <w:szCs w:val="22"/>
        </w:rPr>
        <w:t>In TR 37.885, some additional simulation assumptions for V2P/P2V evaluation should be added.</w:t>
      </w:r>
      <w:r>
        <w:rPr>
          <w:rFonts w:hint="eastAsia" w:eastAsia="宋体"/>
          <w:szCs w:val="22"/>
        </w:rPr>
        <w:fldChar w:fldCharType="end"/>
      </w:r>
    </w:p>
    <w:p>
      <w:pPr>
        <w:pStyle w:val="13"/>
        <w:tabs>
          <w:tab w:val="right" w:leader="dot" w:pos="9660"/>
        </w:tabs>
        <w:spacing w:before="120" w:after="120"/>
      </w:pPr>
      <w:r>
        <w:fldChar w:fldCharType="begin"/>
      </w:r>
      <w:r>
        <w:instrText xml:space="preserve"> HYPERLINK \l "_Toc847" </w:instrText>
      </w:r>
      <w:r>
        <w:fldChar w:fldCharType="separate"/>
      </w:r>
      <w:r>
        <w:rPr>
          <w:rFonts w:eastAsia="宋体"/>
          <w:bCs/>
          <w:iCs/>
          <w:szCs w:val="22"/>
        </w:rPr>
        <w:t xml:space="preserve">Observation 2: </w:t>
      </w:r>
      <w:r>
        <w:rPr>
          <w:rFonts w:eastAsia="宋体"/>
          <w:szCs w:val="22"/>
        </w:rPr>
        <w:t>R</w:t>
      </w:r>
      <w:r>
        <w:rPr>
          <w:rFonts w:hint="eastAsia" w:eastAsia="宋体"/>
          <w:szCs w:val="22"/>
        </w:rPr>
        <w:t>e</w:t>
      </w:r>
      <w:r>
        <w:rPr>
          <w:rFonts w:eastAsia="宋体"/>
          <w:szCs w:val="22"/>
        </w:rPr>
        <w:t>-</w:t>
      </w:r>
      <w:r>
        <w:rPr>
          <w:rFonts w:hint="eastAsia" w:eastAsia="宋体"/>
          <w:szCs w:val="22"/>
        </w:rPr>
        <w:t>using the in</w:t>
      </w:r>
      <w:r>
        <w:rPr>
          <w:rFonts w:eastAsia="宋体"/>
          <w:szCs w:val="22"/>
        </w:rPr>
        <w:t>-</w:t>
      </w:r>
      <w:r>
        <w:rPr>
          <w:rFonts w:hint="eastAsia" w:eastAsia="宋体"/>
          <w:szCs w:val="22"/>
        </w:rPr>
        <w:t xml:space="preserve">band emission model in TR 36.843 has </w:t>
      </w:r>
      <w:r>
        <w:rPr>
          <w:szCs w:val="22"/>
        </w:rPr>
        <w:t>the following</w:t>
      </w:r>
      <w:r>
        <w:rPr>
          <w:rFonts w:hint="eastAsia" w:eastAsia="宋体"/>
          <w:szCs w:val="22"/>
        </w:rPr>
        <w:t xml:space="preserve"> problems</w:t>
      </w:r>
      <w:r>
        <w:rPr>
          <w:rFonts w:hint="eastAsia"/>
          <w:szCs w:val="22"/>
        </w:rPr>
        <w:t>:</w:t>
      </w:r>
      <w:r>
        <w:rPr>
          <w:rFonts w:hint="eastAsia"/>
          <w:szCs w:val="22"/>
        </w:rPr>
        <w:fldChar w:fldCharType="end"/>
      </w:r>
    </w:p>
    <w:p>
      <w:pPr>
        <w:pStyle w:val="15"/>
        <w:tabs>
          <w:tab w:val="right" w:leader="dot" w:pos="9660"/>
        </w:tabs>
        <w:spacing w:before="120" w:after="120"/>
      </w:pPr>
      <w:r>
        <w:fldChar w:fldCharType="begin"/>
      </w:r>
      <w:r>
        <w:instrText xml:space="preserve"> HYPERLINK \l "_Toc7358" </w:instrText>
      </w:r>
      <w:r>
        <w:fldChar w:fldCharType="separate"/>
      </w:r>
      <w:r>
        <w:rPr>
          <w:rFonts w:ascii="Arial" w:hAnsi="Arial" w:cs="Arial"/>
        </w:rPr>
        <w:t xml:space="preserve">• </w:t>
      </w:r>
      <w:r>
        <w:rPr>
          <w:rFonts w:hint="eastAsia"/>
        </w:rPr>
        <w:t>In TR 36.843, it is described that its in-band emissions should be used for simulation purposes for SC-FDMA waveforms.</w:t>
      </w:r>
      <w:r>
        <w:rPr>
          <w:rFonts w:hint="eastAsia"/>
        </w:rPr>
        <w:fldChar w:fldCharType="end"/>
      </w:r>
    </w:p>
    <w:p>
      <w:pPr>
        <w:pStyle w:val="15"/>
        <w:tabs>
          <w:tab w:val="right" w:leader="dot" w:pos="9660"/>
        </w:tabs>
        <w:spacing w:before="120" w:after="120"/>
      </w:pPr>
      <w:r>
        <w:fldChar w:fldCharType="begin"/>
      </w:r>
      <w:r>
        <w:instrText xml:space="preserve"> HYPERLINK \l "_Toc3802" </w:instrText>
      </w:r>
      <w:r>
        <w:fldChar w:fldCharType="separate"/>
      </w:r>
      <w:r>
        <w:rPr>
          <w:rFonts w:ascii="Arial" w:hAnsi="Arial" w:cs="Arial"/>
        </w:rPr>
        <w:t xml:space="preserve">• </w:t>
      </w:r>
      <w:r>
        <w:rPr>
          <w:rFonts w:hint="eastAsia"/>
        </w:rPr>
        <w:t>Only 15 kHz subcarrier spacing is considered for in-band emission model in TR 36.843.</w:t>
      </w:r>
      <w:r>
        <w:rPr>
          <w:rFonts w:hint="eastAsia"/>
        </w:rPr>
        <w:fldChar w:fldCharType="end"/>
      </w:r>
    </w:p>
    <w:p>
      <w:pPr>
        <w:pStyle w:val="13"/>
        <w:tabs>
          <w:tab w:val="right" w:leader="dot" w:pos="9660"/>
        </w:tabs>
        <w:spacing w:before="120" w:after="120"/>
      </w:pPr>
      <w:r>
        <w:fldChar w:fldCharType="begin"/>
      </w:r>
      <w:r>
        <w:instrText xml:space="preserve"> HYPERLINK \l "_Toc16191" </w:instrText>
      </w:r>
      <w:r>
        <w:fldChar w:fldCharType="separate"/>
      </w:r>
      <w:r>
        <w:rPr>
          <w:rFonts w:eastAsia="宋体"/>
          <w:bCs/>
          <w:iCs/>
          <w:kern w:val="0"/>
          <w:szCs w:val="21"/>
          <w:shd w:val="clear" w:color="auto" w:fill="FFFFFF"/>
        </w:rPr>
        <w:t xml:space="preserve">Observation 3: </w:t>
      </w:r>
      <w:r>
        <w:rPr>
          <w:rFonts w:hint="eastAsia"/>
          <w:szCs w:val="22"/>
        </w:rPr>
        <w:t>The power consumption level for a slot containing both "</w:t>
      </w:r>
      <w:r>
        <w:rPr>
          <w:szCs w:val="22"/>
        </w:rPr>
        <w:t>PSCCH</w:t>
      </w:r>
      <w:r>
        <w:rPr>
          <w:rFonts w:hint="eastAsia"/>
          <w:szCs w:val="22"/>
        </w:rPr>
        <w:t xml:space="preserve"> and associated </w:t>
      </w:r>
      <w:r>
        <w:rPr>
          <w:szCs w:val="22"/>
        </w:rPr>
        <w:t>PSSCH RX</w:t>
      </w:r>
      <w:r>
        <w:rPr>
          <w:rFonts w:hint="eastAsia"/>
          <w:szCs w:val="22"/>
        </w:rPr>
        <w:t>"</w:t>
      </w:r>
      <w:r>
        <w:rPr>
          <w:szCs w:val="22"/>
        </w:rPr>
        <w:t xml:space="preserve"> and "1st SCI/2nd SCI RX"</w:t>
      </w:r>
      <w:r>
        <w:rPr>
          <w:rFonts w:hint="eastAsia"/>
          <w:szCs w:val="22"/>
        </w:rPr>
        <w:t xml:space="preserve"> has been defined.</w:t>
      </w:r>
      <w:r>
        <w:rPr>
          <w:rFonts w:hint="eastAsia"/>
          <w:szCs w:val="22"/>
        </w:rPr>
        <w:fldChar w:fldCharType="end"/>
      </w:r>
    </w:p>
    <w:p>
      <w:pPr>
        <w:pStyle w:val="13"/>
        <w:tabs>
          <w:tab w:val="right" w:leader="dot" w:pos="9660"/>
        </w:tabs>
        <w:spacing w:before="120" w:after="120"/>
      </w:pPr>
      <w:r>
        <w:rPr>
          <w:szCs w:val="22"/>
        </w:rPr>
        <w:fldChar w:fldCharType="end"/>
      </w:r>
      <w:r>
        <w:rPr>
          <w:bCs/>
          <w:iCs/>
          <w:szCs w:val="22"/>
        </w:rPr>
        <w:fldChar w:fldCharType="begin"/>
      </w:r>
      <w:r>
        <w:rPr>
          <w:szCs w:val="22"/>
        </w:rPr>
        <w:instrText xml:space="preserve">TOC \n  \t "YJ-Proposal,1,sub-proposal,2" \h</w:instrText>
      </w:r>
      <w:r>
        <w:rPr>
          <w:bCs/>
          <w:iCs/>
          <w:szCs w:val="22"/>
        </w:rPr>
        <w:fldChar w:fldCharType="separate"/>
      </w:r>
    </w:p>
    <w:p>
      <w:pPr>
        <w:pStyle w:val="13"/>
        <w:tabs>
          <w:tab w:val="right" w:leader="dot" w:pos="9660"/>
        </w:tabs>
        <w:spacing w:before="120" w:after="120"/>
      </w:pPr>
      <w:r>
        <w:fldChar w:fldCharType="begin"/>
      </w:r>
      <w:r>
        <w:instrText xml:space="preserve"> HYPERLINK \l "_Toc9299" </w:instrText>
      </w:r>
      <w:r>
        <w:fldChar w:fldCharType="separate"/>
      </w:r>
      <w:r>
        <w:rPr>
          <w:rFonts w:eastAsia="宋体"/>
          <w:bCs/>
          <w:iCs/>
          <w:szCs w:val="22"/>
        </w:rPr>
        <w:t xml:space="preserve">Proposal 1: </w:t>
      </w:r>
      <w:r>
        <w:rPr>
          <w:rFonts w:hint="eastAsia"/>
          <w:szCs w:val="22"/>
        </w:rPr>
        <w:t>V2X</w:t>
      </w:r>
      <w:r>
        <w:rPr>
          <w:szCs w:val="22"/>
        </w:rPr>
        <w:t>,</w:t>
      </w:r>
      <w:r>
        <w:rPr>
          <w:rFonts w:hint="eastAsia"/>
          <w:szCs w:val="22"/>
        </w:rPr>
        <w:t xml:space="preserve"> public safety and commercial use cases should be adopted for power saving.</w:t>
      </w:r>
      <w:r>
        <w:rPr>
          <w:rFonts w:hint="eastAsia"/>
          <w:szCs w:val="22"/>
        </w:rPr>
        <w:fldChar w:fldCharType="end"/>
      </w:r>
    </w:p>
    <w:p>
      <w:pPr>
        <w:pStyle w:val="15"/>
        <w:tabs>
          <w:tab w:val="right" w:leader="dot" w:pos="9660"/>
        </w:tabs>
        <w:spacing w:before="120" w:after="120"/>
      </w:pPr>
      <w:r>
        <w:fldChar w:fldCharType="begin"/>
      </w:r>
      <w:r>
        <w:instrText xml:space="preserve"> HYPERLINK \l "_Toc3600" </w:instrText>
      </w:r>
      <w:r>
        <w:fldChar w:fldCharType="separate"/>
      </w:r>
      <w:r>
        <w:rPr>
          <w:rFonts w:ascii="Arial" w:hAnsi="Arial" w:cs="Arial"/>
          <w:szCs w:val="22"/>
        </w:rPr>
        <w:t xml:space="preserve">• </w:t>
      </w:r>
      <w:r>
        <w:rPr>
          <w:rFonts w:hint="eastAsia"/>
          <w:szCs w:val="22"/>
        </w:rPr>
        <w:t>V2X scenario is the lbaseline.</w:t>
      </w:r>
      <w:r>
        <w:rPr>
          <w:rFonts w:hint="eastAsia"/>
          <w:szCs w:val="22"/>
        </w:rPr>
        <w:fldChar w:fldCharType="end"/>
      </w:r>
    </w:p>
    <w:p>
      <w:pPr>
        <w:pStyle w:val="15"/>
        <w:tabs>
          <w:tab w:val="right" w:leader="dot" w:pos="9660"/>
        </w:tabs>
        <w:spacing w:before="120" w:after="120"/>
      </w:pPr>
      <w:r>
        <w:fldChar w:fldCharType="begin"/>
      </w:r>
      <w:r>
        <w:instrText xml:space="preserve"> HYPERLINK \l "_Toc31792" </w:instrText>
      </w:r>
      <w:r>
        <w:fldChar w:fldCharType="separate"/>
      </w:r>
      <w:r>
        <w:rPr>
          <w:rFonts w:ascii="Arial" w:hAnsi="Arial" w:cs="Arial"/>
          <w:szCs w:val="22"/>
        </w:rPr>
        <w:t xml:space="preserve">• </w:t>
      </w:r>
      <w:r>
        <w:rPr>
          <w:rFonts w:hint="eastAsia"/>
          <w:szCs w:val="22"/>
        </w:rPr>
        <w:t>Public safety and commercial use case is optional.</w:t>
      </w:r>
      <w:r>
        <w:rPr>
          <w:rFonts w:hint="eastAsia"/>
          <w:szCs w:val="22"/>
        </w:rPr>
        <w:fldChar w:fldCharType="end"/>
      </w:r>
    </w:p>
    <w:p>
      <w:pPr>
        <w:pStyle w:val="13"/>
        <w:tabs>
          <w:tab w:val="right" w:leader="dot" w:pos="9660"/>
        </w:tabs>
        <w:spacing w:before="120" w:after="120"/>
      </w:pPr>
      <w:r>
        <w:fldChar w:fldCharType="begin"/>
      </w:r>
      <w:r>
        <w:instrText xml:space="preserve"> HYPERLINK \l "_Toc30776" </w:instrText>
      </w:r>
      <w:r>
        <w:fldChar w:fldCharType="separate"/>
      </w:r>
      <w:r>
        <w:rPr>
          <w:rFonts w:eastAsia="宋体"/>
          <w:bCs/>
          <w:iCs/>
          <w:szCs w:val="22"/>
        </w:rPr>
        <w:t xml:space="preserve">Proposal 2: </w:t>
      </w:r>
      <w:r>
        <w:rPr>
          <w:rFonts w:hint="eastAsia"/>
          <w:szCs w:val="22"/>
        </w:rPr>
        <w:t>For c</w:t>
      </w:r>
      <w:r>
        <w:rPr>
          <w:szCs w:val="22"/>
        </w:rPr>
        <w:t>ommercial and public safety use cases</w:t>
      </w:r>
      <w:r>
        <w:rPr>
          <w:rFonts w:hint="eastAsia"/>
          <w:szCs w:val="22"/>
        </w:rPr>
        <w:t>, evaluation assumptions in TR 36.843 should be reused with the following modification.</w:t>
      </w:r>
      <w:r>
        <w:rPr>
          <w:rFonts w:hint="eastAsia"/>
          <w:szCs w:val="22"/>
        </w:rPr>
        <w:fldChar w:fldCharType="end"/>
      </w:r>
    </w:p>
    <w:p>
      <w:pPr>
        <w:pStyle w:val="15"/>
        <w:tabs>
          <w:tab w:val="right" w:leader="dot" w:pos="9660"/>
        </w:tabs>
        <w:spacing w:before="120" w:after="120"/>
      </w:pPr>
      <w:r>
        <w:fldChar w:fldCharType="begin"/>
      </w:r>
      <w:r>
        <w:instrText xml:space="preserve"> HYPERLINK \l "_Toc6036" </w:instrText>
      </w:r>
      <w:r>
        <w:fldChar w:fldCharType="separate"/>
      </w:r>
      <w:r>
        <w:rPr>
          <w:rFonts w:ascii="Arial" w:hAnsi="Arial" w:cs="Arial"/>
          <w:szCs w:val="22"/>
        </w:rPr>
        <w:t xml:space="preserve">• </w:t>
      </w:r>
      <w:r>
        <w:rPr>
          <w:rFonts w:hint="eastAsia"/>
          <w:szCs w:val="22"/>
        </w:rPr>
        <w:t>In-band emission model needs to be modified.</w:t>
      </w:r>
      <w:r>
        <w:rPr>
          <w:rFonts w:hint="eastAsia"/>
          <w:szCs w:val="22"/>
        </w:rPr>
        <w:fldChar w:fldCharType="end"/>
      </w:r>
    </w:p>
    <w:p>
      <w:pPr>
        <w:pStyle w:val="13"/>
        <w:tabs>
          <w:tab w:val="right" w:leader="dot" w:pos="9660"/>
        </w:tabs>
        <w:spacing w:before="120" w:after="120"/>
      </w:pPr>
      <w:r>
        <w:fldChar w:fldCharType="begin"/>
      </w:r>
      <w:r>
        <w:instrText xml:space="preserve"> HYPERLINK \l "_Toc2841" </w:instrText>
      </w:r>
      <w:r>
        <w:fldChar w:fldCharType="separate"/>
      </w:r>
      <w:r>
        <w:rPr>
          <w:rFonts w:eastAsia="宋体"/>
          <w:bCs/>
          <w:iCs/>
          <w:szCs w:val="22"/>
        </w:rPr>
        <w:t xml:space="preserve">Proposal 3: </w:t>
      </w:r>
      <w:r>
        <w:rPr>
          <w:rFonts w:hint="eastAsia"/>
          <w:szCs w:val="22"/>
        </w:rPr>
        <w:t>For V2P/P2V evaluation, simulation assumptions in TR 37.885 are reused as much as possible.</w:t>
      </w:r>
      <w:r>
        <w:rPr>
          <w:rFonts w:hint="eastAsia"/>
          <w:szCs w:val="22"/>
        </w:rPr>
        <w:fldChar w:fldCharType="end"/>
      </w:r>
    </w:p>
    <w:p>
      <w:pPr>
        <w:pStyle w:val="13"/>
        <w:tabs>
          <w:tab w:val="right" w:leader="dot" w:pos="9660"/>
        </w:tabs>
        <w:spacing w:before="120" w:after="120"/>
      </w:pPr>
      <w:r>
        <w:fldChar w:fldCharType="begin"/>
      </w:r>
      <w:r>
        <w:instrText xml:space="preserve"> HYPERLINK \l "_Toc22510" </w:instrText>
      </w:r>
      <w:r>
        <w:fldChar w:fldCharType="separate"/>
      </w:r>
      <w:r>
        <w:rPr>
          <w:rFonts w:eastAsia="宋体"/>
          <w:bCs/>
          <w:iCs/>
          <w:szCs w:val="22"/>
        </w:rPr>
        <w:t xml:space="preserve">Proposal 4: </w:t>
      </w:r>
      <w:r>
        <w:rPr>
          <w:rFonts w:hint="eastAsia"/>
          <w:szCs w:val="22"/>
        </w:rPr>
        <w:t>For</w:t>
      </w:r>
      <w:r>
        <w:rPr>
          <w:szCs w:val="22"/>
        </w:rPr>
        <w:t xml:space="preserve"> P2V</w:t>
      </w:r>
      <w:r>
        <w:rPr>
          <w:rFonts w:hint="eastAsia"/>
          <w:szCs w:val="22"/>
        </w:rPr>
        <w:t xml:space="preserve"> evaluation, </w:t>
      </w:r>
      <w:r>
        <w:rPr>
          <w:szCs w:val="22"/>
        </w:rPr>
        <w:t xml:space="preserve">the traffic model of pedestrian </w:t>
      </w:r>
      <w:r>
        <w:rPr>
          <w:rFonts w:hint="eastAsia"/>
          <w:szCs w:val="22"/>
          <w:lang w:eastAsia="ko-KR"/>
        </w:rPr>
        <w:t>UEs</w:t>
      </w:r>
      <w:r>
        <w:rPr>
          <w:rFonts w:hint="eastAsia"/>
          <w:szCs w:val="22"/>
        </w:rPr>
        <w:t xml:space="preserve"> </w:t>
      </w:r>
      <w:r>
        <w:rPr>
          <w:szCs w:val="22"/>
        </w:rPr>
        <w:t xml:space="preserve">in 36.885 </w:t>
      </w:r>
      <w:r>
        <w:rPr>
          <w:rFonts w:hint="eastAsia"/>
          <w:szCs w:val="22"/>
        </w:rPr>
        <w:t xml:space="preserve">should </w:t>
      </w:r>
      <w:r>
        <w:rPr>
          <w:szCs w:val="22"/>
        </w:rPr>
        <w:t>be adopted</w:t>
      </w:r>
      <w:r>
        <w:rPr>
          <w:rFonts w:hint="eastAsia"/>
          <w:szCs w:val="22"/>
        </w:rPr>
        <w:t>.</w:t>
      </w:r>
      <w:r>
        <w:rPr>
          <w:rFonts w:hint="eastAsia"/>
          <w:szCs w:val="22"/>
        </w:rPr>
        <w:fldChar w:fldCharType="end"/>
      </w:r>
    </w:p>
    <w:p>
      <w:pPr>
        <w:pStyle w:val="15"/>
        <w:tabs>
          <w:tab w:val="right" w:leader="dot" w:pos="9660"/>
        </w:tabs>
        <w:spacing w:before="120" w:after="120"/>
      </w:pPr>
      <w:r>
        <w:fldChar w:fldCharType="begin"/>
      </w:r>
      <w:r>
        <w:instrText xml:space="preserve"> HYPERLINK \l "_Toc26290" </w:instrText>
      </w:r>
      <w:r>
        <w:fldChar w:fldCharType="separate"/>
      </w:r>
      <w:r>
        <w:rPr>
          <w:rFonts w:ascii="Arial" w:hAnsi="Arial" w:cs="Arial"/>
        </w:rPr>
        <w:t xml:space="preserve">• </w:t>
      </w:r>
      <w:r>
        <w:rPr>
          <w:rFonts w:hint="eastAsia"/>
        </w:rPr>
        <w:t>The message size is fixed at 300 Bytes and transmission frequency is 1 Hz.</w:t>
      </w:r>
      <w:r>
        <w:rPr>
          <w:rFonts w:hint="eastAsia"/>
        </w:rPr>
        <w:fldChar w:fldCharType="end"/>
      </w:r>
    </w:p>
    <w:p>
      <w:pPr>
        <w:pStyle w:val="15"/>
        <w:tabs>
          <w:tab w:val="right" w:leader="dot" w:pos="9660"/>
        </w:tabs>
        <w:spacing w:before="120" w:after="120"/>
      </w:pPr>
      <w:r>
        <w:fldChar w:fldCharType="begin"/>
      </w:r>
      <w:r>
        <w:instrText xml:space="preserve"> HYPERLINK \l "_Toc22603" </w:instrText>
      </w:r>
      <w:r>
        <w:fldChar w:fldCharType="separate"/>
      </w:r>
      <w:r>
        <w:rPr>
          <w:rFonts w:ascii="Arial" w:hAnsi="Arial" w:cs="Arial"/>
        </w:rPr>
        <w:t xml:space="preserve">• </w:t>
      </w:r>
      <w:r>
        <w:rPr>
          <w:rFonts w:hint="eastAsia"/>
        </w:rPr>
        <w:t>Baseline: ‘100ms’ latency requirement</w:t>
      </w:r>
      <w:r>
        <w:rPr>
          <w:rFonts w:hint="eastAsia"/>
        </w:rPr>
        <w:fldChar w:fldCharType="end"/>
      </w:r>
    </w:p>
    <w:p>
      <w:pPr>
        <w:pStyle w:val="13"/>
        <w:tabs>
          <w:tab w:val="right" w:leader="dot" w:pos="9660"/>
        </w:tabs>
        <w:spacing w:before="120" w:after="120"/>
      </w:pPr>
      <w:r>
        <w:fldChar w:fldCharType="begin"/>
      </w:r>
      <w:r>
        <w:instrText xml:space="preserve"> HYPERLINK \l "_Toc28864" </w:instrText>
      </w:r>
      <w:r>
        <w:fldChar w:fldCharType="separate"/>
      </w:r>
      <w:r>
        <w:rPr>
          <w:rFonts w:eastAsia="宋体"/>
          <w:bCs/>
          <w:iCs/>
          <w:szCs w:val="22"/>
        </w:rPr>
        <w:t xml:space="preserve">Proposal 5: </w:t>
      </w:r>
      <w:r>
        <w:rPr>
          <w:rFonts w:hint="eastAsia"/>
          <w:szCs w:val="22"/>
        </w:rPr>
        <w:t>Location update is not modeled for pedestrian UE.</w:t>
      </w:r>
      <w:r>
        <w:rPr>
          <w:rFonts w:hint="eastAsia"/>
          <w:szCs w:val="22"/>
        </w:rPr>
        <w:fldChar w:fldCharType="end"/>
      </w:r>
    </w:p>
    <w:p>
      <w:pPr>
        <w:pStyle w:val="13"/>
        <w:tabs>
          <w:tab w:val="right" w:leader="dot" w:pos="9660"/>
        </w:tabs>
        <w:spacing w:before="120" w:after="120"/>
      </w:pPr>
      <w:r>
        <w:fldChar w:fldCharType="begin"/>
      </w:r>
      <w:r>
        <w:instrText xml:space="preserve"> HYPERLINK \l "_Toc19151" </w:instrText>
      </w:r>
      <w:r>
        <w:fldChar w:fldCharType="separate"/>
      </w:r>
      <w:r>
        <w:rPr>
          <w:rFonts w:eastAsia="宋体"/>
          <w:bCs/>
          <w:iCs/>
          <w:szCs w:val="22"/>
        </w:rPr>
        <w:t xml:space="preserve">Proposal 6: </w:t>
      </w:r>
      <w:r>
        <w:rPr>
          <w:rFonts w:hint="eastAsia"/>
          <w:szCs w:val="22"/>
        </w:rPr>
        <w:t>Fast fading parameters for V2V in the urban scenario in TR 37.885 are reused for V2P/P2V evaluation.</w:t>
      </w:r>
      <w:r>
        <w:rPr>
          <w:rFonts w:hint="eastAsia"/>
          <w:szCs w:val="22"/>
        </w:rPr>
        <w:fldChar w:fldCharType="end"/>
      </w:r>
    </w:p>
    <w:p>
      <w:pPr>
        <w:pStyle w:val="13"/>
        <w:tabs>
          <w:tab w:val="right" w:leader="dot" w:pos="9660"/>
        </w:tabs>
        <w:spacing w:before="120" w:after="120"/>
      </w:pPr>
      <w:r>
        <w:fldChar w:fldCharType="begin"/>
      </w:r>
      <w:r>
        <w:instrText xml:space="preserve"> HYPERLINK \l "_Toc20685" </w:instrText>
      </w:r>
      <w:r>
        <w:fldChar w:fldCharType="separate"/>
      </w:r>
      <w:r>
        <w:rPr>
          <w:rFonts w:eastAsia="宋体"/>
          <w:bCs/>
          <w:iCs/>
        </w:rPr>
        <w:t xml:space="preserve">Proposal 7: </w:t>
      </w:r>
      <w:r>
        <w:rPr>
          <w:rFonts w:hint="eastAsia"/>
          <w:szCs w:val="22"/>
        </w:rPr>
        <w:t xml:space="preserve">How </w:t>
      </w:r>
      <w:r>
        <w:rPr>
          <w:rFonts w:hint="eastAsia"/>
        </w:rPr>
        <w:t>to model in-band emission model should be further discussed for NR sidelink evaluation.</w:t>
      </w:r>
      <w:r>
        <w:rPr>
          <w:rFonts w:hint="eastAsia"/>
        </w:rPr>
        <w:fldChar w:fldCharType="end"/>
      </w:r>
    </w:p>
    <w:p>
      <w:pPr>
        <w:pStyle w:val="13"/>
        <w:tabs>
          <w:tab w:val="right" w:leader="dot" w:pos="9660"/>
        </w:tabs>
        <w:spacing w:before="120" w:after="120"/>
      </w:pPr>
      <w:r>
        <w:fldChar w:fldCharType="begin"/>
      </w:r>
      <w:r>
        <w:instrText xml:space="preserve"> HYPERLINK \l "_Toc18181" </w:instrText>
      </w:r>
      <w:r>
        <w:fldChar w:fldCharType="separate"/>
      </w:r>
      <w:r>
        <w:rPr>
          <w:rFonts w:eastAsia="宋体"/>
          <w:bCs/>
          <w:iCs/>
          <w:szCs w:val="22"/>
        </w:rPr>
        <w:t xml:space="preserve">Proposal 8: </w:t>
      </w:r>
      <w:r>
        <w:rPr>
          <w:rFonts w:hint="eastAsia"/>
          <w:szCs w:val="22"/>
        </w:rPr>
        <w:t>Confirm the foll</w:t>
      </w:r>
      <w:r>
        <w:rPr>
          <w:szCs w:val="22"/>
        </w:rPr>
        <w:t>o</w:t>
      </w:r>
      <w:r>
        <w:rPr>
          <w:rFonts w:hint="eastAsia"/>
          <w:szCs w:val="22"/>
        </w:rPr>
        <w:t>wing working assumption:</w:t>
      </w:r>
      <w:r>
        <w:rPr>
          <w:rFonts w:hint="eastAsia"/>
          <w:szCs w:val="22"/>
        </w:rPr>
        <w:fldChar w:fldCharType="end"/>
      </w:r>
    </w:p>
    <w:p>
      <w:pPr>
        <w:pStyle w:val="50"/>
        <w:widowControl w:val="0"/>
        <w:numPr>
          <w:ilvl w:val="1"/>
          <w:numId w:val="8"/>
        </w:numPr>
        <w:autoSpaceDE w:val="0"/>
        <w:autoSpaceDN w:val="0"/>
        <w:spacing w:before="120" w:after="120" w:line="260" w:lineRule="auto"/>
        <w:ind w:left="783" w:leftChars="200" w:hanging="363"/>
        <w:rPr>
          <w:rFonts w:ascii="Times New Roman" w:hAnsi="Times New Roman" w:eastAsia="Gulim" w:cs="Times New Roman"/>
          <w:b/>
          <w:bCs w:val="0"/>
          <w:i/>
          <w:iCs/>
          <w:color w:val="000000" w:themeColor="text1"/>
          <w:sz w:val="20"/>
          <w:szCs w:val="20"/>
          <w:lang w:eastAsia="ko-KR"/>
          <w14:textFill>
            <w14:solidFill>
              <w14:schemeClr w14:val="tx1"/>
            </w14:solidFill>
          </w14:textFill>
        </w:rPr>
      </w:pPr>
      <w:r>
        <w:rPr>
          <w:rFonts w:ascii="Times New Roman" w:hAnsi="Times New Roman" w:eastAsia="Gulim" w:cs="Times New Roman"/>
          <w:b/>
          <w:bCs w:val="0"/>
          <w:i/>
          <w:iCs/>
          <w:color w:val="000000" w:themeColor="text1"/>
          <w:sz w:val="20"/>
          <w:szCs w:val="20"/>
          <w:lang w:eastAsia="ko-KR"/>
          <w14:textFill>
            <w14:solidFill>
              <w14:schemeClr w14:val="tx1"/>
            </w14:solidFill>
          </w14:textFill>
        </w:rPr>
        <w:t>(</w:t>
      </w:r>
      <w:r>
        <w:rPr>
          <w:rFonts w:ascii="Times New Roman" w:hAnsi="Times New Roman" w:eastAsia="Gulim" w:cs="Times New Roman"/>
          <w:b/>
          <w:bCs w:val="0"/>
          <w:i/>
          <w:iCs/>
          <w:color w:val="000000" w:themeColor="text1"/>
          <w:sz w:val="20"/>
          <w:szCs w:val="20"/>
          <w:highlight w:val="darkYellow"/>
          <w:lang w:eastAsia="ko-KR"/>
          <w14:textFill>
            <w14:solidFill>
              <w14:schemeClr w14:val="tx1"/>
            </w14:solidFill>
          </w14:textFill>
        </w:rPr>
        <w:t>Working assumption</w:t>
      </w:r>
      <w:r>
        <w:rPr>
          <w:rFonts w:ascii="Times New Roman" w:hAnsi="Times New Roman" w:eastAsia="Gulim" w:cs="Times New Roman"/>
          <w:b/>
          <w:bCs w:val="0"/>
          <w:i/>
          <w:iCs/>
          <w:color w:val="000000" w:themeColor="text1"/>
          <w:sz w:val="20"/>
          <w:szCs w:val="20"/>
          <w:lang w:eastAsia="ko-KR"/>
          <w14:textFill>
            <w14:solidFill>
              <w14:schemeClr w14:val="tx1"/>
            </w14:solidFill>
          </w14:textFill>
        </w:rPr>
        <w:t>) Scaling of SL BWP size adaptation in RX perspective</w:t>
      </w:r>
    </w:p>
    <w:p>
      <w:pPr>
        <w:pStyle w:val="50"/>
        <w:numPr>
          <w:ilvl w:val="2"/>
          <w:numId w:val="9"/>
        </w:numPr>
        <w:autoSpaceDE w:val="0"/>
        <w:autoSpaceDN w:val="0"/>
        <w:spacing w:before="120" w:after="120" w:line="260" w:lineRule="auto"/>
        <w:ind w:left="1203" w:leftChars="400" w:hanging="363"/>
        <w:rPr>
          <w:b/>
          <w:bCs w:val="0"/>
          <w:i/>
          <w:iCs/>
          <w:color w:val="000000" w:themeColor="text1"/>
          <w:szCs w:val="22"/>
          <w14:textFill>
            <w14:solidFill>
              <w14:schemeClr w14:val="tx1"/>
            </w14:solidFill>
          </w14:textFill>
        </w:rPr>
      </w:pPr>
      <w:r>
        <w:rPr>
          <w:rFonts w:ascii="Times New Roman" w:hAnsi="Times New Roman" w:eastAsia="Gulim" w:cs="Times New Roman"/>
          <w:b/>
          <w:bCs w:val="0"/>
          <w:i/>
          <w:iCs/>
          <w:color w:val="000000" w:themeColor="text1"/>
          <w:sz w:val="20"/>
          <w:szCs w:val="20"/>
          <w:lang w:eastAsia="ko-KR"/>
          <w14:textFill>
            <w14:solidFill>
              <w14:schemeClr w14:val="tx1"/>
            </w14:solidFill>
          </w14:textFill>
        </w:rPr>
        <w:t>X MHz is (0.4 +0.6*(X-20)/80)*100 MHz</w:t>
      </w:r>
    </w:p>
    <w:p>
      <w:pPr>
        <w:pStyle w:val="13"/>
        <w:tabs>
          <w:tab w:val="right" w:leader="dot" w:pos="9660"/>
        </w:tabs>
        <w:spacing w:before="120" w:after="120"/>
      </w:pPr>
      <w:r>
        <w:fldChar w:fldCharType="begin"/>
      </w:r>
      <w:r>
        <w:instrText xml:space="preserve"> HYPERLINK \l "_Toc15794" </w:instrText>
      </w:r>
      <w:r>
        <w:fldChar w:fldCharType="separate"/>
      </w:r>
      <w:r>
        <w:rPr>
          <w:rFonts w:eastAsia="宋体"/>
          <w:bCs/>
          <w:iCs/>
          <w:szCs w:val="22"/>
        </w:rPr>
        <w:t xml:space="preserve">Proposal 9: </w:t>
      </w:r>
      <w:r>
        <w:rPr>
          <w:rFonts w:hint="eastAsia"/>
          <w:szCs w:val="22"/>
        </w:rPr>
        <w:t>Confirm the foll</w:t>
      </w:r>
      <w:r>
        <w:rPr>
          <w:szCs w:val="22"/>
        </w:rPr>
        <w:t>o</w:t>
      </w:r>
      <w:r>
        <w:rPr>
          <w:rFonts w:hint="eastAsia"/>
          <w:szCs w:val="22"/>
        </w:rPr>
        <w:t>wing working assumptions:</w:t>
      </w:r>
      <w:r>
        <w:rPr>
          <w:rFonts w:hint="eastAsia"/>
          <w:szCs w:val="22"/>
        </w:rPr>
        <w:fldChar w:fldCharType="end"/>
      </w:r>
    </w:p>
    <w:p>
      <w:pPr>
        <w:pStyle w:val="50"/>
        <w:numPr>
          <w:ilvl w:val="1"/>
          <w:numId w:val="9"/>
        </w:numPr>
        <w:autoSpaceDE w:val="0"/>
        <w:autoSpaceDN w:val="0"/>
        <w:spacing w:before="120" w:after="120" w:line="260" w:lineRule="auto"/>
        <w:ind w:left="783" w:leftChars="200" w:hanging="363"/>
        <w:rPr>
          <w:rFonts w:ascii="Times New Roman" w:hAnsi="Times New Roman" w:eastAsia="Gulim" w:cs="Times New Roman"/>
          <w:b/>
          <w:bCs/>
          <w:i/>
          <w:iCs/>
          <w:sz w:val="20"/>
          <w:szCs w:val="20"/>
          <w:lang w:eastAsia="ko-KR"/>
        </w:rPr>
      </w:pPr>
      <w:r>
        <w:rPr>
          <w:rFonts w:ascii="Times New Roman" w:hAnsi="Times New Roman" w:eastAsia="Gulim" w:cs="Times New Roman"/>
          <w:b/>
          <w:bCs/>
          <w:i/>
          <w:iCs/>
          <w:sz w:val="20"/>
          <w:szCs w:val="20"/>
          <w:lang w:eastAsia="ko-KR"/>
        </w:rPr>
        <w:t>(</w:t>
      </w:r>
      <w:r>
        <w:rPr>
          <w:rFonts w:ascii="Times New Roman" w:hAnsi="Times New Roman" w:eastAsia="Gulim" w:cs="Times New Roman"/>
          <w:b/>
          <w:bCs/>
          <w:i/>
          <w:iCs/>
          <w:sz w:val="20"/>
          <w:szCs w:val="20"/>
          <w:highlight w:val="darkYellow"/>
          <w:lang w:eastAsia="ko-KR"/>
        </w:rPr>
        <w:t>Working assumption</w:t>
      </w:r>
      <w:r>
        <w:rPr>
          <w:rFonts w:ascii="Times New Roman" w:hAnsi="Times New Roman" w:eastAsia="Gulim" w:cs="Times New Roman"/>
          <w:b/>
          <w:bCs/>
          <w:i/>
          <w:iCs/>
          <w:sz w:val="20"/>
          <w:szCs w:val="20"/>
          <w:lang w:eastAsia="ko-KR"/>
        </w:rPr>
        <w:t>) For “PSCCH/PSSCH RX”,</w:t>
      </w:r>
    </w:p>
    <w:p>
      <w:pPr>
        <w:pStyle w:val="50"/>
        <w:numPr>
          <w:ilvl w:val="2"/>
          <w:numId w:val="9"/>
        </w:numPr>
        <w:autoSpaceDE w:val="0"/>
        <w:autoSpaceDN w:val="0"/>
        <w:spacing w:before="120" w:after="120" w:line="260" w:lineRule="auto"/>
        <w:ind w:left="1203" w:leftChars="400" w:hanging="363"/>
        <w:rPr>
          <w:rFonts w:ascii="Times New Roman" w:hAnsi="Times New Roman" w:eastAsia="Gulim" w:cs="Times New Roman"/>
          <w:b/>
          <w:bCs/>
          <w:i/>
          <w:iCs/>
          <w:sz w:val="20"/>
          <w:szCs w:val="20"/>
          <w:lang w:eastAsia="ko-KR"/>
        </w:rPr>
      </w:pPr>
      <w:r>
        <w:rPr>
          <w:rFonts w:ascii="Times New Roman" w:hAnsi="Times New Roman" w:eastAsia="Gulim" w:cs="Times New Roman"/>
          <w:b/>
          <w:bCs/>
          <w:i/>
          <w:iCs/>
          <w:sz w:val="20"/>
          <w:szCs w:val="20"/>
          <w:lang w:eastAsia="ko-KR"/>
        </w:rPr>
        <w:t xml:space="preserve">In non-PSFCH-slot (i.e., the number of PSCCH/PSSCH symbols is 13), </w:t>
      </w:r>
    </w:p>
    <w:p>
      <w:pPr>
        <w:pStyle w:val="50"/>
        <w:numPr>
          <w:ilvl w:val="3"/>
          <w:numId w:val="9"/>
        </w:numPr>
        <w:autoSpaceDE w:val="0"/>
        <w:autoSpaceDN w:val="0"/>
        <w:spacing w:before="120" w:after="120" w:line="260" w:lineRule="auto"/>
        <w:ind w:left="1623" w:leftChars="600" w:hanging="363"/>
        <w:rPr>
          <w:rFonts w:ascii="Times New Roman" w:hAnsi="Times New Roman" w:eastAsia="Gulim" w:cs="Times New Roman"/>
          <w:b/>
          <w:bCs/>
          <w:i/>
          <w:iCs/>
          <w:sz w:val="20"/>
          <w:szCs w:val="20"/>
          <w:lang w:eastAsia="ko-KR"/>
        </w:rPr>
      </w:pPr>
      <w:r>
        <w:rPr>
          <w:rFonts w:ascii="Times New Roman" w:hAnsi="Times New Roman" w:eastAsia="Gulim" w:cs="Times New Roman"/>
          <w:b/>
          <w:bCs/>
          <w:i/>
          <w:iCs/>
          <w:sz w:val="20"/>
          <w:szCs w:val="20"/>
          <w:lang w:eastAsia="ko-KR"/>
        </w:rPr>
        <w:t>the power consumption level is the same as that of “PDCCH+PDSCH”</w:t>
      </w:r>
    </w:p>
    <w:p>
      <w:pPr>
        <w:pStyle w:val="13"/>
        <w:tabs>
          <w:tab w:val="right" w:leader="dot" w:pos="9660"/>
        </w:tabs>
        <w:spacing w:before="120" w:after="120"/>
      </w:pPr>
      <w:r>
        <w:fldChar w:fldCharType="begin"/>
      </w:r>
      <w:r>
        <w:instrText xml:space="preserve"> HYPERLINK \l "_Toc14300" </w:instrText>
      </w:r>
      <w:r>
        <w:fldChar w:fldCharType="separate"/>
      </w:r>
      <w:r>
        <w:rPr>
          <w:rFonts w:eastAsia="宋体"/>
          <w:bCs/>
          <w:iCs/>
          <w:szCs w:val="22"/>
        </w:rPr>
        <w:t xml:space="preserve">Proposal 10: </w:t>
      </w:r>
      <w:r>
        <w:rPr>
          <w:rFonts w:hint="eastAsia"/>
          <w:szCs w:val="22"/>
        </w:rPr>
        <w:t>Confirm the foll</w:t>
      </w:r>
      <w:r>
        <w:rPr>
          <w:szCs w:val="22"/>
        </w:rPr>
        <w:t>o</w:t>
      </w:r>
      <w:r>
        <w:rPr>
          <w:rFonts w:hint="eastAsia"/>
          <w:szCs w:val="22"/>
        </w:rPr>
        <w:t>wing working assumption:</w:t>
      </w:r>
      <w:r>
        <w:rPr>
          <w:rFonts w:hint="eastAsia"/>
          <w:szCs w:val="22"/>
        </w:rPr>
        <w:fldChar w:fldCharType="end"/>
      </w:r>
    </w:p>
    <w:p>
      <w:pPr>
        <w:pStyle w:val="50"/>
        <w:numPr>
          <w:ilvl w:val="1"/>
          <w:numId w:val="9"/>
        </w:numPr>
        <w:autoSpaceDE w:val="0"/>
        <w:autoSpaceDN w:val="0"/>
        <w:spacing w:before="120" w:after="120" w:line="260" w:lineRule="auto"/>
        <w:ind w:left="783" w:leftChars="200" w:hanging="363"/>
        <w:rPr>
          <w:rFonts w:ascii="Times New Roman" w:hAnsi="Times New Roman" w:eastAsia="Gulim" w:cs="Times New Roman"/>
          <w:b/>
          <w:bCs w:val="0"/>
          <w:i/>
          <w:iCs/>
          <w:color w:val="000000" w:themeColor="text1"/>
          <w:sz w:val="20"/>
          <w:szCs w:val="20"/>
          <w:lang w:eastAsia="ko-KR"/>
          <w14:textFill>
            <w14:solidFill>
              <w14:schemeClr w14:val="tx1"/>
            </w14:solidFill>
          </w14:textFill>
        </w:rPr>
      </w:pPr>
      <w:r>
        <w:rPr>
          <w:rFonts w:ascii="Times New Roman" w:hAnsi="Times New Roman" w:eastAsia="Gulim" w:cs="Times New Roman"/>
          <w:b/>
          <w:bCs w:val="0"/>
          <w:i/>
          <w:iCs/>
          <w:color w:val="000000" w:themeColor="text1"/>
          <w:sz w:val="20"/>
          <w:szCs w:val="20"/>
          <w:lang w:eastAsia="ko-KR"/>
          <w14:textFill>
            <w14:solidFill>
              <w14:schemeClr w14:val="tx1"/>
            </w14:solidFill>
          </w14:textFill>
        </w:rPr>
        <w:t>(</w:t>
      </w:r>
      <w:r>
        <w:rPr>
          <w:rFonts w:ascii="Times New Roman" w:hAnsi="Times New Roman" w:eastAsia="Gulim" w:cs="Times New Roman"/>
          <w:b/>
          <w:bCs w:val="0"/>
          <w:i/>
          <w:iCs/>
          <w:color w:val="000000" w:themeColor="text1"/>
          <w:sz w:val="20"/>
          <w:szCs w:val="20"/>
          <w:highlight w:val="darkYellow"/>
          <w:lang w:eastAsia="ko-KR"/>
          <w14:textFill>
            <w14:solidFill>
              <w14:schemeClr w14:val="tx1"/>
            </w14:solidFill>
          </w14:textFill>
        </w:rPr>
        <w:t>Working assumption</w:t>
      </w:r>
      <w:r>
        <w:rPr>
          <w:rFonts w:ascii="Times New Roman" w:hAnsi="Times New Roman" w:eastAsia="Gulim" w:cs="Times New Roman"/>
          <w:b/>
          <w:bCs w:val="0"/>
          <w:i/>
          <w:iCs/>
          <w:color w:val="000000" w:themeColor="text1"/>
          <w:sz w:val="20"/>
          <w:szCs w:val="20"/>
          <w:lang w:eastAsia="ko-KR"/>
          <w14:textFill>
            <w14:solidFill>
              <w14:schemeClr w14:val="tx1"/>
            </w14:solidFill>
          </w14:textFill>
        </w:rPr>
        <w:t xml:space="preserve">) For power consumption level of “PSFCH RX”, </w:t>
      </w:r>
    </w:p>
    <w:p>
      <w:pPr>
        <w:pStyle w:val="50"/>
        <w:numPr>
          <w:ilvl w:val="2"/>
          <w:numId w:val="9"/>
        </w:numPr>
        <w:autoSpaceDE w:val="0"/>
        <w:autoSpaceDN w:val="0"/>
        <w:spacing w:before="120" w:after="120" w:line="260" w:lineRule="auto"/>
        <w:ind w:left="1203" w:leftChars="400" w:hanging="363"/>
        <w:rPr>
          <w:rFonts w:ascii="Times New Roman" w:hAnsi="Times New Roman" w:eastAsia="Gulim" w:cs="Times New Roman"/>
          <w:b/>
          <w:bCs w:val="0"/>
          <w:i/>
          <w:iCs/>
          <w:color w:val="000000" w:themeColor="text1"/>
          <w:sz w:val="20"/>
          <w:szCs w:val="20"/>
          <w:lang w:eastAsia="ko-KR"/>
          <w14:textFill>
            <w14:solidFill>
              <w14:schemeClr w14:val="tx1"/>
            </w14:solidFill>
          </w14:textFill>
        </w:rPr>
      </w:pPr>
      <w:r>
        <w:rPr>
          <w:rFonts w:ascii="Times New Roman" w:hAnsi="Times New Roman" w:eastAsia="Gulim" w:cs="Times New Roman"/>
          <w:b/>
          <w:bCs w:val="0"/>
          <w:i/>
          <w:iCs/>
          <w:color w:val="000000" w:themeColor="text1"/>
          <w:sz w:val="20"/>
          <w:szCs w:val="20"/>
          <w:lang w:eastAsia="ko-KR"/>
          <w14:textFill>
            <w14:solidFill>
              <w14:schemeClr w14:val="tx1"/>
            </w14:solidFill>
          </w14:textFill>
        </w:rPr>
        <w:t>the power consumption level is power consumption level of “PDCCH-only” for cross-slot scheduling</w:t>
      </w:r>
    </w:p>
    <w:p>
      <w:pPr>
        <w:pStyle w:val="13"/>
        <w:tabs>
          <w:tab w:val="right" w:leader="dot" w:pos="9660"/>
        </w:tabs>
        <w:spacing w:before="120" w:after="120"/>
      </w:pPr>
      <w:r>
        <w:fldChar w:fldCharType="begin"/>
      </w:r>
      <w:r>
        <w:instrText xml:space="preserve"> HYPERLINK \l "_Toc12346" </w:instrText>
      </w:r>
      <w:r>
        <w:fldChar w:fldCharType="separate"/>
      </w:r>
      <w:r>
        <w:rPr>
          <w:rFonts w:eastAsia="宋体"/>
          <w:bCs/>
          <w:iCs/>
          <w:szCs w:val="22"/>
        </w:rPr>
        <w:t xml:space="preserve">Proposal 11: </w:t>
      </w:r>
      <w:r>
        <w:rPr>
          <w:rFonts w:hint="eastAsia"/>
          <w:szCs w:val="22"/>
        </w:rPr>
        <w:t>UE power consumption in Table 6-1 should be adopted for PSFCH slot.</w:t>
      </w:r>
      <w:r>
        <w:rPr>
          <w:rFonts w:hint="eastAsia"/>
          <w:szCs w:val="22"/>
        </w:rPr>
        <w:fldChar w:fldCharType="end"/>
      </w:r>
    </w:p>
    <w:p>
      <w:pPr>
        <w:pStyle w:val="13"/>
        <w:tabs>
          <w:tab w:val="right" w:leader="dot" w:pos="9660"/>
        </w:tabs>
        <w:spacing w:before="120" w:after="120"/>
      </w:pPr>
      <w:r>
        <w:fldChar w:fldCharType="begin"/>
      </w:r>
      <w:r>
        <w:instrText xml:space="preserve"> HYPERLINK \l "_Toc20031" </w:instrText>
      </w:r>
      <w:r>
        <w:fldChar w:fldCharType="separate"/>
      </w:r>
      <w:r>
        <w:rPr>
          <w:rFonts w:eastAsia="宋体"/>
          <w:bCs/>
          <w:iCs/>
          <w:szCs w:val="22"/>
        </w:rPr>
        <w:t xml:space="preserve">Proposal 12: </w:t>
      </w:r>
      <w:r>
        <w:rPr>
          <w:rFonts w:hint="eastAsia"/>
          <w:szCs w:val="22"/>
        </w:rPr>
        <w:t>P</w:t>
      </w:r>
      <w:r>
        <w:rPr>
          <w:rFonts w:hint="eastAsia"/>
          <w:szCs w:val="22"/>
          <w:lang w:eastAsia="ko-KR"/>
        </w:rPr>
        <w:t>ower consumption level of</w:t>
      </w:r>
      <w:r>
        <w:rPr>
          <w:rFonts w:hint="eastAsia"/>
          <w:szCs w:val="22"/>
        </w:rPr>
        <w:t xml:space="preserve"> "</w:t>
      </w:r>
      <w:r>
        <w:rPr>
          <w:rFonts w:hint="eastAsia"/>
          <w:szCs w:val="22"/>
          <w:lang w:eastAsia="ko-KR"/>
        </w:rPr>
        <w:t>1st SCI/2nd SCI RX</w:t>
      </w:r>
      <w:r>
        <w:rPr>
          <w:rFonts w:hint="eastAsia"/>
          <w:szCs w:val="22"/>
        </w:rPr>
        <w:t xml:space="preserve">" </w:t>
      </w:r>
      <w:r>
        <w:rPr>
          <w:rFonts w:hint="eastAsia"/>
          <w:szCs w:val="22"/>
          <w:lang w:eastAsia="ko-KR"/>
        </w:rPr>
        <w:t xml:space="preserve">is [0.7]* power consumption level of </w:t>
      </w:r>
      <w:r>
        <w:rPr>
          <w:rFonts w:hint="eastAsia"/>
          <w:szCs w:val="22"/>
        </w:rPr>
        <w:t>"</w:t>
      </w:r>
      <w:r>
        <w:rPr>
          <w:rFonts w:hint="eastAsia"/>
          <w:szCs w:val="22"/>
          <w:lang w:eastAsia="ko-KR"/>
        </w:rPr>
        <w:t>PSCCH/PSSCH RX</w:t>
      </w:r>
      <w:r>
        <w:rPr>
          <w:rFonts w:hint="eastAsia"/>
          <w:szCs w:val="22"/>
        </w:rPr>
        <w:t xml:space="preserve"> in non-PSFCH slot"</w:t>
      </w:r>
      <w:r>
        <w:rPr>
          <w:rFonts w:hint="eastAsia"/>
          <w:szCs w:val="22"/>
        </w:rPr>
        <w:fldChar w:fldCharType="end"/>
      </w:r>
    </w:p>
    <w:p>
      <w:pPr>
        <w:pStyle w:val="13"/>
        <w:tabs>
          <w:tab w:val="right" w:leader="dot" w:pos="9660"/>
        </w:tabs>
        <w:spacing w:before="120" w:after="120"/>
      </w:pPr>
      <w:r>
        <w:fldChar w:fldCharType="begin"/>
      </w:r>
      <w:r>
        <w:instrText xml:space="preserve"> HYPERLINK \l "_Toc27589" </w:instrText>
      </w:r>
      <w:r>
        <w:fldChar w:fldCharType="separate"/>
      </w:r>
      <w:r>
        <w:rPr>
          <w:rFonts w:eastAsia="宋体"/>
          <w:bCs/>
          <w:iCs/>
          <w:szCs w:val="22"/>
        </w:rPr>
        <w:t xml:space="preserve">Proposal 13: </w:t>
      </w:r>
      <w:r>
        <w:rPr>
          <w:rFonts w:hint="eastAsia"/>
          <w:szCs w:val="22"/>
        </w:rPr>
        <w:t>For simplify, the same power consumption level is assumed for different numbers of "</w:t>
      </w:r>
      <w:r>
        <w:rPr>
          <w:szCs w:val="22"/>
        </w:rPr>
        <w:t>PSCCH/PSSCH RX</w:t>
      </w:r>
      <w:r>
        <w:rPr>
          <w:rFonts w:hint="eastAsia"/>
          <w:szCs w:val="22"/>
        </w:rPr>
        <w:t>" in a slot.</w:t>
      </w:r>
      <w:r>
        <w:rPr>
          <w:rFonts w:hint="eastAsia"/>
          <w:szCs w:val="22"/>
        </w:rPr>
        <w:fldChar w:fldCharType="end"/>
      </w:r>
    </w:p>
    <w:p>
      <w:pPr>
        <w:pStyle w:val="13"/>
        <w:tabs>
          <w:tab w:val="right" w:leader="dot" w:pos="9660"/>
        </w:tabs>
        <w:spacing w:before="120" w:after="120"/>
      </w:pPr>
      <w:r>
        <w:fldChar w:fldCharType="begin"/>
      </w:r>
      <w:r>
        <w:instrText xml:space="preserve"> HYPERLINK \l "_Toc17829" </w:instrText>
      </w:r>
      <w:r>
        <w:fldChar w:fldCharType="separate"/>
      </w:r>
      <w:r>
        <w:rPr>
          <w:rFonts w:eastAsia="宋体"/>
          <w:bCs/>
          <w:iCs/>
          <w:szCs w:val="22"/>
        </w:rPr>
        <w:t xml:space="preserve">Proposal 14: </w:t>
      </w:r>
      <w:r>
        <w:rPr>
          <w:rFonts w:hint="eastAsia"/>
          <w:szCs w:val="22"/>
        </w:rPr>
        <w:t>For the power consumption level of a combination of "GNSS processing" and "one or more other power states" , power consumption level is a sum of power consumption level of "GNSS processing" and "one or more other power states" in a slot.</w:t>
      </w:r>
      <w:r>
        <w:rPr>
          <w:rFonts w:hint="eastAsia"/>
          <w:szCs w:val="22"/>
        </w:rPr>
        <w:fldChar w:fldCharType="end"/>
      </w:r>
    </w:p>
    <w:p>
      <w:pPr>
        <w:tabs>
          <w:tab w:val="right" w:leader="dot" w:pos="9660"/>
        </w:tabs>
        <w:spacing w:before="120" w:after="120"/>
      </w:pPr>
      <w:r>
        <w:fldChar w:fldCharType="end"/>
      </w:r>
    </w:p>
    <w:p>
      <w:pPr>
        <w:pStyle w:val="2"/>
        <w:spacing w:before="120" w:after="120" w:line="240" w:lineRule="auto"/>
        <w:ind w:left="0"/>
        <w:rPr>
          <w:rFonts w:eastAsia="宋体"/>
        </w:rPr>
      </w:pPr>
      <w:r>
        <w:rPr>
          <w:rFonts w:hint="eastAsia" w:eastAsia="宋体"/>
        </w:rPr>
        <w:t>Reference</w:t>
      </w:r>
      <w:r>
        <w:rPr>
          <w:rFonts w:eastAsia="宋体"/>
        </w:rPr>
        <w:t>s</w:t>
      </w:r>
    </w:p>
    <w:p>
      <w:pPr>
        <w:pStyle w:val="27"/>
        <w:spacing w:before="120" w:after="120" w:line="240" w:lineRule="auto"/>
        <w:ind w:left="363" w:hanging="363"/>
      </w:pPr>
      <w:bookmarkStart w:id="35" w:name="_Ref6480"/>
      <w:bookmarkStart w:id="36" w:name="_Ref18344"/>
      <w:bookmarkStart w:id="37" w:name="_Ref17466"/>
      <w:r>
        <w:rPr>
          <w:rFonts w:hint="eastAsia"/>
        </w:rPr>
        <w:fldChar w:fldCharType="begin"/>
      </w:r>
      <w:r>
        <w:rPr>
          <w:rFonts w:hint="eastAsia"/>
        </w:rPr>
        <w:instrText xml:space="preserve"> HYPERLINK "http://www.3gpp.org/ftp/tsg_ran/TSG_RAN/TSGR_88e/Docs/RP-201385.zip" </w:instrText>
      </w:r>
      <w:r>
        <w:rPr>
          <w:rFonts w:hint="eastAsia"/>
        </w:rPr>
        <w:fldChar w:fldCharType="separate"/>
      </w:r>
      <w:r>
        <w:rPr>
          <w:rFonts w:hint="eastAsia"/>
        </w:rPr>
        <w:t>RP-201385</w:t>
      </w:r>
      <w:r>
        <w:rPr>
          <w:rFonts w:hint="eastAsia"/>
        </w:rPr>
        <w:fldChar w:fldCharType="end"/>
      </w:r>
      <w:r>
        <w:rPr>
          <w:rFonts w:hint="eastAsia"/>
          <w:color w:val="000000"/>
          <w:sz w:val="20"/>
          <w:szCs w:val="20"/>
        </w:rPr>
        <w:t xml:space="preserve">, </w:t>
      </w:r>
      <w:r>
        <w:rPr>
          <w:rFonts w:hint="eastAsia"/>
        </w:rPr>
        <w:t>"WID revision: NR sidelink enhancement"</w:t>
      </w:r>
    </w:p>
    <w:bookmarkEnd w:id="35"/>
    <w:bookmarkEnd w:id="36"/>
    <w:bookmarkEnd w:id="37"/>
    <w:p>
      <w:pPr>
        <w:pStyle w:val="27"/>
        <w:spacing w:before="120" w:after="120" w:line="240" w:lineRule="auto"/>
        <w:ind w:left="363" w:hanging="363"/>
      </w:pPr>
      <w:r>
        <w:rPr>
          <w:color w:val="000000"/>
          <w:sz w:val="20"/>
          <w:szCs w:val="20"/>
          <w:lang w:eastAsia="ko-KR"/>
        </w:rPr>
        <w:t>TR 36.843</w:t>
      </w:r>
      <w:r>
        <w:rPr>
          <w:rFonts w:hint="eastAsia"/>
          <w:color w:val="000000"/>
          <w:sz w:val="20"/>
          <w:szCs w:val="20"/>
        </w:rPr>
        <w:t xml:space="preserve">, </w:t>
      </w:r>
      <w:r>
        <w:rPr>
          <w:color w:val="000000"/>
          <w:sz w:val="20"/>
          <w:szCs w:val="20"/>
        </w:rPr>
        <w:t>"</w:t>
      </w:r>
      <w:r>
        <w:rPr>
          <w:rFonts w:hint="eastAsia"/>
          <w:color w:val="000000"/>
          <w:sz w:val="20"/>
          <w:szCs w:val="20"/>
        </w:rPr>
        <w:t>Study on LTE Device to Device Proximity Services</w:t>
      </w:r>
      <w:r>
        <w:rPr>
          <w:color w:val="000000"/>
          <w:sz w:val="20"/>
          <w:szCs w:val="20"/>
        </w:rPr>
        <w:t>"</w:t>
      </w:r>
    </w:p>
    <w:p>
      <w:pPr>
        <w:pStyle w:val="27"/>
        <w:spacing w:before="120" w:after="120" w:line="240" w:lineRule="auto"/>
        <w:rPr>
          <w:color w:val="000000"/>
          <w:sz w:val="20"/>
          <w:szCs w:val="20"/>
        </w:rPr>
      </w:pPr>
      <w:r>
        <w:rPr>
          <w:color w:val="000000"/>
          <w:sz w:val="20"/>
          <w:szCs w:val="20"/>
          <w:lang w:eastAsia="ko-KR"/>
        </w:rPr>
        <w:t>TR 38.840</w:t>
      </w:r>
      <w:r>
        <w:rPr>
          <w:rFonts w:hint="eastAsia"/>
          <w:color w:val="000000"/>
          <w:sz w:val="20"/>
          <w:szCs w:val="20"/>
        </w:rPr>
        <w:t xml:space="preserve">, </w:t>
      </w:r>
      <w:r>
        <w:rPr>
          <w:color w:val="000000"/>
          <w:sz w:val="20"/>
          <w:szCs w:val="20"/>
        </w:rPr>
        <w:t>"</w:t>
      </w:r>
      <w:r>
        <w:rPr>
          <w:rFonts w:hint="eastAsia"/>
          <w:color w:val="000000"/>
          <w:sz w:val="20"/>
          <w:szCs w:val="20"/>
        </w:rPr>
        <w:t>Study on User Equipment (UE) power saving in NR</w:t>
      </w:r>
      <w:r>
        <w:rPr>
          <w:color w:val="000000"/>
          <w:sz w:val="20"/>
          <w:szCs w:val="20"/>
        </w:rPr>
        <w:t>"</w:t>
      </w:r>
    </w:p>
    <w:p>
      <w:pPr>
        <w:pStyle w:val="27"/>
        <w:spacing w:before="120" w:after="120" w:line="240" w:lineRule="auto"/>
        <w:ind w:left="363" w:hanging="363"/>
      </w:pPr>
      <w:r>
        <w:rPr>
          <w:color w:val="000000"/>
          <w:sz w:val="20"/>
          <w:szCs w:val="20"/>
          <w:lang w:eastAsia="ko-KR"/>
        </w:rPr>
        <w:t>TR 36.885</w:t>
      </w:r>
      <w:r>
        <w:rPr>
          <w:rFonts w:hint="eastAsia"/>
          <w:color w:val="000000"/>
          <w:sz w:val="20"/>
          <w:szCs w:val="20"/>
        </w:rPr>
        <w:t xml:space="preserve">, </w:t>
      </w:r>
      <w:r>
        <w:rPr>
          <w:color w:val="000000"/>
          <w:sz w:val="20"/>
          <w:szCs w:val="20"/>
        </w:rPr>
        <w:t>"</w:t>
      </w:r>
      <w:r>
        <w:rPr>
          <w:rFonts w:hint="eastAsia"/>
        </w:rPr>
        <w:t>Study on LTE-based V2X Services</w:t>
      </w:r>
      <w:r>
        <w:rPr>
          <w:color w:val="000000"/>
          <w:sz w:val="20"/>
          <w:szCs w:val="20"/>
        </w:rPr>
        <w:t>"</w:t>
      </w:r>
    </w:p>
    <w:p>
      <w:pPr>
        <w:pStyle w:val="27"/>
        <w:spacing w:before="120" w:after="120" w:line="240" w:lineRule="auto"/>
        <w:ind w:left="363" w:hanging="363"/>
      </w:pPr>
      <w:r>
        <w:rPr>
          <w:color w:val="000000"/>
          <w:sz w:val="20"/>
          <w:szCs w:val="20"/>
          <w:lang w:eastAsia="ko-KR"/>
        </w:rPr>
        <w:t>TR 37.885</w:t>
      </w:r>
      <w:r>
        <w:rPr>
          <w:rFonts w:hint="eastAsia"/>
          <w:color w:val="000000"/>
          <w:sz w:val="20"/>
          <w:szCs w:val="20"/>
        </w:rPr>
        <w:t xml:space="preserve">, </w:t>
      </w:r>
      <w:r>
        <w:rPr>
          <w:color w:val="000000"/>
          <w:sz w:val="20"/>
          <w:szCs w:val="20"/>
        </w:rPr>
        <w:t>"</w:t>
      </w:r>
      <w:r>
        <w:rPr>
          <w:rFonts w:hint="eastAsia"/>
        </w:rPr>
        <w:t>Study on evaluation methodology of new Vehicle-to-Everything (V2X) use cases for LTE and NR</w:t>
      </w:r>
      <w:r>
        <w:rPr>
          <w:color w:val="000000"/>
          <w:sz w:val="20"/>
          <w:szCs w:val="20"/>
        </w:rPr>
        <w:t>"</w:t>
      </w:r>
    </w:p>
    <w:p>
      <w:pPr>
        <w:pStyle w:val="27"/>
        <w:spacing w:before="120" w:after="120" w:line="240" w:lineRule="auto"/>
        <w:ind w:left="363" w:hanging="363"/>
      </w:pPr>
      <w:r>
        <w:rPr>
          <w:color w:val="000000"/>
          <w:sz w:val="20"/>
          <w:szCs w:val="20"/>
          <w:lang w:eastAsia="ko-KR"/>
        </w:rPr>
        <w:t>TR 38.885</w:t>
      </w:r>
      <w:r>
        <w:rPr>
          <w:rFonts w:hint="eastAsia"/>
          <w:color w:val="000000"/>
          <w:sz w:val="20"/>
          <w:szCs w:val="20"/>
        </w:rPr>
        <w:t xml:space="preserve">, </w:t>
      </w:r>
      <w:r>
        <w:rPr>
          <w:color w:val="000000"/>
          <w:sz w:val="20"/>
          <w:szCs w:val="20"/>
        </w:rPr>
        <w:t>"</w:t>
      </w:r>
      <w:r>
        <w:rPr>
          <w:rFonts w:hint="eastAsia"/>
        </w:rPr>
        <w:t>NR Study on NR Vehicle-to-Everything (V2X)</w:t>
      </w:r>
      <w:r>
        <w:rPr>
          <w:color w:val="000000"/>
          <w:sz w:val="20"/>
          <w:szCs w:val="20"/>
        </w:rPr>
        <w:t>"</w:t>
      </w:r>
    </w:p>
    <w:p>
      <w:pPr>
        <w:pStyle w:val="2"/>
        <w:spacing w:before="120" w:after="120" w:line="240" w:lineRule="auto"/>
        <w:ind w:left="0"/>
        <w:rPr>
          <w:rFonts w:eastAsia="宋体"/>
        </w:rPr>
      </w:pPr>
      <w:r>
        <w:rPr>
          <w:rFonts w:hint="eastAsia" w:eastAsia="宋体"/>
        </w:rPr>
        <w:t>Appendix</w:t>
      </w:r>
    </w:p>
    <w:p>
      <w:pPr>
        <w:pStyle w:val="43"/>
        <w:spacing w:before="120" w:after="120"/>
      </w:pPr>
      <w:r>
        <w:t xml:space="preserve">Table </w:t>
      </w:r>
      <w:r>
        <w:rPr>
          <w:rFonts w:hint="eastAsia"/>
        </w:rPr>
        <w:t>9</w:t>
      </w:r>
      <w:r>
        <w:t>-1: Details of Deployment Scenarios</w:t>
      </w:r>
      <w:r>
        <w:rPr>
          <w:rFonts w:hint="eastAsia"/>
        </w:rPr>
        <w:t xml:space="preserve"> in TR 36.843</w:t>
      </w:r>
    </w:p>
    <w:tbl>
      <w:tblPr>
        <w:tblStyle w:val="17"/>
        <w:tblW w:w="10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94"/>
        <w:gridCol w:w="3550"/>
        <w:gridCol w:w="4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jc w:val="center"/>
        </w:trPr>
        <w:tc>
          <w:tcPr>
            <w:tcW w:w="2994"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44"/>
              <w:spacing w:before="120" w:after="120"/>
              <w:jc w:val="left"/>
              <w:rPr>
                <w:rFonts w:ascii="Times New Roman" w:hAnsi="Times New Roman"/>
                <w:sz w:val="20"/>
              </w:rPr>
            </w:pPr>
          </w:p>
        </w:tc>
        <w:tc>
          <w:tcPr>
            <w:tcW w:w="3550"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44"/>
              <w:spacing w:before="120" w:after="120"/>
              <w:rPr>
                <w:rFonts w:ascii="Times New Roman" w:hAnsi="Times New Roman"/>
                <w:sz w:val="20"/>
              </w:rPr>
            </w:pPr>
            <w:r>
              <w:rPr>
                <w:rFonts w:ascii="Times New Roman" w:hAnsi="Times New Roman"/>
                <w:sz w:val="20"/>
              </w:rPr>
              <w:t>General Scenarios</w:t>
            </w:r>
          </w:p>
        </w:tc>
        <w:tc>
          <w:tcPr>
            <w:tcW w:w="4296"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44"/>
              <w:spacing w:before="120" w:after="120"/>
              <w:rPr>
                <w:rFonts w:ascii="Times New Roman" w:hAnsi="Times New Roman"/>
                <w:sz w:val="20"/>
              </w:rPr>
            </w:pPr>
            <w:r>
              <w:rPr>
                <w:rFonts w:ascii="Times New Roman" w:hAnsi="Times New Roman"/>
                <w:sz w:val="20"/>
              </w:rPr>
              <w:t>Public Safety Scenarios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2"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rPr>
            </w:pPr>
            <w:r>
              <w:rPr>
                <w:rFonts w:ascii="Times New Roman" w:hAnsi="Times New Roman"/>
                <w:sz w:val="20"/>
              </w:rPr>
              <w:t>LTE Layout</w:t>
            </w:r>
          </w:p>
        </w:tc>
        <w:tc>
          <w:tcPr>
            <w:tcW w:w="3550" w:type="dxa"/>
            <w:tcBorders>
              <w:top w:val="single" w:color="auto" w:sz="4" w:space="0"/>
              <w:left w:val="single" w:color="auto" w:sz="4" w:space="0"/>
              <w:bottom w:val="single" w:color="auto" w:sz="4" w:space="0"/>
              <w:right w:val="single" w:color="auto" w:sz="4" w:space="0"/>
            </w:tcBorders>
            <w:vAlign w:val="center"/>
          </w:tcPr>
          <w:p>
            <w:pPr>
              <w:spacing w:before="120" w:after="120"/>
              <w:rPr>
                <w:sz w:val="20"/>
              </w:rPr>
            </w:pPr>
            <w:r>
              <w:rPr>
                <w:sz w:val="20"/>
              </w:rPr>
              <w:t>Option 1 shall be mandatory</w:t>
            </w:r>
          </w:p>
          <w:p>
            <w:pPr>
              <w:spacing w:before="120" w:after="120"/>
              <w:rPr>
                <w:sz w:val="20"/>
              </w:rPr>
            </w:pPr>
            <w:r>
              <w:rPr>
                <w:sz w:val="20"/>
              </w:rPr>
              <w:t>Others layouts are optional in order of decreasing priority:</w:t>
            </w:r>
          </w:p>
          <w:p>
            <w:pPr>
              <w:spacing w:before="120" w:after="120"/>
              <w:rPr>
                <w:sz w:val="20"/>
              </w:rPr>
            </w:pPr>
            <w:r>
              <w:rPr>
                <w:sz w:val="20"/>
              </w:rPr>
              <w:t>Option 2 / Option 3</w:t>
            </w:r>
          </w:p>
          <w:p>
            <w:pPr>
              <w:spacing w:before="120" w:after="120"/>
              <w:rPr>
                <w:sz w:val="20"/>
              </w:rPr>
            </w:pPr>
            <w:r>
              <w:rPr>
                <w:sz w:val="20"/>
              </w:rPr>
              <w:t>Option 4</w:t>
            </w:r>
          </w:p>
          <w:p>
            <w:pPr>
              <w:spacing w:before="120" w:after="120"/>
              <w:rPr>
                <w:sz w:val="20"/>
              </w:rPr>
            </w:pPr>
            <w:r>
              <w:rPr>
                <w:sz w:val="20"/>
              </w:rPr>
              <w:t>Option 6</w:t>
            </w:r>
          </w:p>
        </w:tc>
        <w:tc>
          <w:tcPr>
            <w:tcW w:w="4296" w:type="dxa"/>
            <w:tcBorders>
              <w:top w:val="single" w:color="auto" w:sz="4" w:space="0"/>
              <w:left w:val="single" w:color="auto" w:sz="4" w:space="0"/>
              <w:bottom w:val="single" w:color="auto" w:sz="4" w:space="0"/>
              <w:right w:val="single" w:color="auto" w:sz="4" w:space="0"/>
            </w:tcBorders>
            <w:vAlign w:val="center"/>
          </w:tcPr>
          <w:p>
            <w:pPr>
              <w:spacing w:before="120" w:after="120"/>
              <w:rPr>
                <w:sz w:val="20"/>
              </w:rPr>
            </w:pPr>
            <w:r>
              <w:rPr>
                <w:sz w:val="20"/>
              </w:rPr>
              <w:t>Option 5 shall be mandatory</w:t>
            </w:r>
          </w:p>
          <w:p>
            <w:pPr>
              <w:spacing w:before="120" w:after="120"/>
              <w:rPr>
                <w:sz w:val="20"/>
              </w:rPr>
            </w:pPr>
            <w:r>
              <w:rPr>
                <w:sz w:val="20"/>
              </w:rPr>
              <w:t xml:space="preserve">Others layouts are optional in order of decreasing priority: </w:t>
            </w:r>
          </w:p>
          <w:p>
            <w:pPr>
              <w:spacing w:before="120" w:after="120"/>
              <w:rPr>
                <w:sz w:val="20"/>
              </w:rPr>
            </w:pPr>
            <w:r>
              <w:rPr>
                <w:sz w:val="20"/>
              </w:rPr>
              <w:t>Option 3</w:t>
            </w:r>
          </w:p>
          <w:p>
            <w:pPr>
              <w:spacing w:before="120" w:after="120"/>
              <w:rPr>
                <w:sz w:val="20"/>
              </w:rPr>
            </w:pPr>
            <w:r>
              <w:rPr>
                <w:sz w:val="20"/>
              </w:rPr>
              <w:t>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2"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rPr>
            </w:pPr>
            <w:r>
              <w:rPr>
                <w:rFonts w:ascii="Times New Roman" w:hAnsi="Times New Roman"/>
                <w:sz w:val="20"/>
              </w:rPr>
              <w:t>Carrier Frequency</w:t>
            </w:r>
          </w:p>
          <w:p>
            <w:pPr>
              <w:pStyle w:val="44"/>
              <w:spacing w:before="120" w:after="120"/>
              <w:jc w:val="left"/>
              <w:rPr>
                <w:rFonts w:ascii="Times New Roman" w:hAnsi="Times New Roman"/>
                <w:sz w:val="20"/>
              </w:rPr>
            </w:pPr>
            <w:r>
              <w:rPr>
                <w:rFonts w:ascii="Times New Roman" w:hAnsi="Times New Roman"/>
                <w:sz w:val="20"/>
              </w:rPr>
              <w:t>(Note: The performance at 2GHz is expected to be different from the performance at 700MHz.)</w:t>
            </w:r>
          </w:p>
        </w:tc>
        <w:tc>
          <w:tcPr>
            <w:tcW w:w="3550" w:type="dxa"/>
            <w:tcBorders>
              <w:top w:val="single" w:color="auto" w:sz="4" w:space="0"/>
              <w:left w:val="single" w:color="auto" w:sz="4" w:space="0"/>
              <w:bottom w:val="single" w:color="auto" w:sz="4" w:space="0"/>
              <w:right w:val="single" w:color="auto" w:sz="4" w:space="0"/>
            </w:tcBorders>
            <w:vAlign w:val="center"/>
          </w:tcPr>
          <w:p>
            <w:pPr>
              <w:spacing w:before="120" w:after="120"/>
              <w:rPr>
                <w:sz w:val="20"/>
              </w:rPr>
            </w:pPr>
            <w:r>
              <w:rPr>
                <w:sz w:val="20"/>
              </w:rPr>
              <w:t>2GHz</w:t>
            </w:r>
          </w:p>
        </w:tc>
        <w:tc>
          <w:tcPr>
            <w:tcW w:w="4296" w:type="dxa"/>
            <w:tcBorders>
              <w:top w:val="single" w:color="auto" w:sz="4" w:space="0"/>
              <w:left w:val="single" w:color="auto" w:sz="4" w:space="0"/>
              <w:bottom w:val="single" w:color="auto" w:sz="4" w:space="0"/>
              <w:right w:val="single" w:color="auto" w:sz="4" w:space="0"/>
            </w:tcBorders>
            <w:vAlign w:val="center"/>
          </w:tcPr>
          <w:p>
            <w:pPr>
              <w:spacing w:before="120" w:after="120"/>
              <w:rPr>
                <w:sz w:val="20"/>
              </w:rPr>
            </w:pPr>
            <w:r>
              <w:rPr>
                <w:sz w:val="20"/>
              </w:rPr>
              <w:t>700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0"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rPr>
            </w:pPr>
            <w:r>
              <w:rPr>
                <w:rFonts w:ascii="Times New Roman" w:hAnsi="Times New Roman"/>
                <w:sz w:val="20"/>
              </w:rPr>
              <w:t>System bandwidth</w:t>
            </w:r>
          </w:p>
        </w:tc>
        <w:tc>
          <w:tcPr>
            <w:tcW w:w="3550" w:type="dxa"/>
            <w:tcBorders>
              <w:top w:val="single" w:color="auto" w:sz="4" w:space="0"/>
              <w:left w:val="single" w:color="auto" w:sz="4" w:space="0"/>
              <w:bottom w:val="single" w:color="auto" w:sz="4" w:space="0"/>
              <w:right w:val="single" w:color="auto" w:sz="4" w:space="0"/>
            </w:tcBorders>
            <w:vAlign w:val="center"/>
          </w:tcPr>
          <w:p>
            <w:pPr>
              <w:spacing w:before="120" w:after="120"/>
              <w:rPr>
                <w:sz w:val="20"/>
              </w:rPr>
            </w:pPr>
            <w:r>
              <w:rPr>
                <w:sz w:val="20"/>
              </w:rPr>
              <w:t>10MHz Uplink and 10MHz Downlink for FDD, 20 MHz for TDD</w:t>
            </w:r>
          </w:p>
        </w:tc>
        <w:tc>
          <w:tcPr>
            <w:tcW w:w="4296" w:type="dxa"/>
            <w:tcBorders>
              <w:top w:val="single" w:color="auto" w:sz="4" w:space="0"/>
              <w:left w:val="single" w:color="auto" w:sz="4" w:space="0"/>
              <w:bottom w:val="single" w:color="auto" w:sz="4" w:space="0"/>
              <w:right w:val="single" w:color="auto" w:sz="4" w:space="0"/>
            </w:tcBorders>
            <w:vAlign w:val="center"/>
          </w:tcPr>
          <w:p>
            <w:pPr>
              <w:spacing w:before="120" w:after="120"/>
              <w:rPr>
                <w:sz w:val="20"/>
              </w:rPr>
            </w:pPr>
            <w:r>
              <w:rPr>
                <w:sz w:val="20"/>
              </w:rPr>
              <w:t>10MHz Uplink and  10MHz Downlink for FDD, 20MHz for TDD for  in-coverage and partial-coverage scenarios,</w:t>
            </w:r>
          </w:p>
          <w:p>
            <w:pPr>
              <w:spacing w:before="120" w:after="120"/>
              <w:rPr>
                <w:sz w:val="20"/>
              </w:rPr>
            </w:pPr>
            <w:r>
              <w:rPr>
                <w:sz w:val="20"/>
              </w:rPr>
              <w:t>10MHz dedicated spectrum for out-of-coverage scenarios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0"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rPr>
            </w:pPr>
            <w:r>
              <w:rPr>
                <w:rFonts w:ascii="Times New Roman" w:hAnsi="Times New Roman"/>
                <w:sz w:val="20"/>
              </w:rPr>
              <w:t>Network operation</w:t>
            </w:r>
          </w:p>
        </w:tc>
        <w:tc>
          <w:tcPr>
            <w:tcW w:w="3550" w:type="dxa"/>
            <w:tcBorders>
              <w:top w:val="single" w:color="auto" w:sz="4" w:space="0"/>
              <w:left w:val="single" w:color="auto" w:sz="4" w:space="0"/>
              <w:bottom w:val="single" w:color="auto" w:sz="4" w:space="0"/>
              <w:right w:val="single" w:color="auto" w:sz="4" w:space="0"/>
            </w:tcBorders>
            <w:vAlign w:val="center"/>
          </w:tcPr>
          <w:p>
            <w:pPr>
              <w:spacing w:before="120" w:after="120"/>
              <w:rPr>
                <w:sz w:val="20"/>
              </w:rPr>
            </w:pPr>
            <w:r>
              <w:rPr>
                <w:sz w:val="20"/>
              </w:rPr>
              <w:t>100% eNodeBs enabled</w:t>
            </w:r>
          </w:p>
        </w:tc>
        <w:tc>
          <w:tcPr>
            <w:tcW w:w="4296" w:type="dxa"/>
            <w:tcBorders>
              <w:top w:val="single" w:color="auto" w:sz="4" w:space="0"/>
              <w:left w:val="single" w:color="auto" w:sz="4" w:space="0"/>
              <w:bottom w:val="single" w:color="auto" w:sz="4" w:space="0"/>
              <w:right w:val="single" w:color="auto" w:sz="4" w:space="0"/>
            </w:tcBorders>
            <w:vAlign w:val="center"/>
          </w:tcPr>
          <w:p>
            <w:pPr>
              <w:spacing w:before="120" w:after="120"/>
              <w:rPr>
                <w:sz w:val="20"/>
              </w:rPr>
            </w:pPr>
            <w:r>
              <w:rPr>
                <w:sz w:val="20"/>
              </w:rPr>
              <w:t>0%  eNodeBs enabled</w:t>
            </w:r>
          </w:p>
          <w:p>
            <w:pPr>
              <w:spacing w:before="120" w:after="120"/>
              <w:rPr>
                <w:sz w:val="20"/>
              </w:rPr>
            </w:pPr>
            <w:r>
              <w:rPr>
                <w:sz w:val="20"/>
              </w:rPr>
              <w:t>100% eNodeBs enabled</w:t>
            </w:r>
          </w:p>
          <w:p>
            <w:pPr>
              <w:spacing w:before="120" w:after="120"/>
              <w:rPr>
                <w:sz w:val="20"/>
                <w:vertAlign w:val="superscript"/>
              </w:rPr>
            </w:pPr>
            <w:r>
              <w:rPr>
                <w:sz w:val="20"/>
              </w:rPr>
              <w:t>3-site clustered eNodeB enabling pattern for 19 cells layout as shown in Figure A.2.1.1-1 for partial-coverage</w:t>
            </w:r>
            <w:r>
              <w:rPr>
                <w:sz w:val="20"/>
                <w:vertAlign w:val="superscript"/>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rPr>
            </w:pPr>
            <w:r>
              <w:rPr>
                <w:rFonts w:ascii="Times New Roman" w:hAnsi="Times New Roman"/>
                <w:sz w:val="20"/>
              </w:rPr>
              <w:t>UE out-of-coverage criterion</w:t>
            </w:r>
          </w:p>
        </w:tc>
        <w:tc>
          <w:tcPr>
            <w:tcW w:w="3550" w:type="dxa"/>
            <w:tcBorders>
              <w:top w:val="single" w:color="auto" w:sz="4" w:space="0"/>
              <w:left w:val="single" w:color="auto" w:sz="4" w:space="0"/>
              <w:bottom w:val="single" w:color="auto" w:sz="4" w:space="0"/>
              <w:right w:val="single" w:color="auto" w:sz="4" w:space="0"/>
            </w:tcBorders>
            <w:vAlign w:val="center"/>
          </w:tcPr>
          <w:p>
            <w:pPr>
              <w:spacing w:before="120" w:after="120"/>
              <w:rPr>
                <w:sz w:val="20"/>
              </w:rPr>
            </w:pPr>
            <w:r>
              <w:rPr>
                <w:sz w:val="20"/>
              </w:rPr>
              <w:t>N/A</w:t>
            </w:r>
          </w:p>
        </w:tc>
        <w:tc>
          <w:tcPr>
            <w:tcW w:w="4296" w:type="dxa"/>
            <w:tcBorders>
              <w:top w:val="single" w:color="auto" w:sz="4" w:space="0"/>
              <w:left w:val="single" w:color="auto" w:sz="4" w:space="0"/>
              <w:bottom w:val="single" w:color="auto" w:sz="4" w:space="0"/>
              <w:right w:val="single" w:color="auto" w:sz="4" w:space="0"/>
            </w:tcBorders>
            <w:vAlign w:val="center"/>
          </w:tcPr>
          <w:p>
            <w:pPr>
              <w:spacing w:before="120" w:after="120"/>
              <w:rPr>
                <w:sz w:val="20"/>
              </w:rPr>
            </w:pPr>
            <w:r>
              <w:rPr>
                <w:sz w:val="20"/>
              </w:rPr>
              <w:t xml:space="preserve">Average SINR &lt; -6 dB over system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86"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rPr>
            </w:pPr>
            <w:r>
              <w:rPr>
                <w:rFonts w:ascii="Times New Roman" w:hAnsi="Times New Roman"/>
                <w:sz w:val="20"/>
              </w:rPr>
              <w:t>Network synchronization</w:t>
            </w:r>
          </w:p>
        </w:tc>
        <w:tc>
          <w:tcPr>
            <w:tcW w:w="3550" w:type="dxa"/>
            <w:tcBorders>
              <w:top w:val="single" w:color="auto" w:sz="4" w:space="0"/>
              <w:left w:val="single" w:color="auto" w:sz="4" w:space="0"/>
              <w:bottom w:val="single" w:color="auto" w:sz="4" w:space="0"/>
              <w:right w:val="single" w:color="auto" w:sz="4" w:space="0"/>
            </w:tcBorders>
            <w:vAlign w:val="center"/>
          </w:tcPr>
          <w:p>
            <w:pPr>
              <w:spacing w:before="120" w:after="120"/>
              <w:rPr>
                <w:sz w:val="20"/>
              </w:rPr>
            </w:pPr>
            <w:r>
              <w:rPr>
                <w:sz w:val="20"/>
              </w:rPr>
              <w:t xml:space="preserve">All cases shall be treated with equal priority: </w:t>
            </w:r>
          </w:p>
          <w:p>
            <w:pPr>
              <w:numPr>
                <w:ilvl w:val="0"/>
                <w:numId w:val="12"/>
              </w:numPr>
              <w:tabs>
                <w:tab w:val="left" w:pos="720"/>
                <w:tab w:val="clear" w:pos="928"/>
              </w:tabs>
              <w:spacing w:before="120" w:after="120" w:line="240" w:lineRule="auto"/>
              <w:ind w:left="720"/>
              <w:rPr>
                <w:sz w:val="20"/>
              </w:rPr>
            </w:pPr>
            <w:r>
              <w:rPr>
                <w:sz w:val="20"/>
              </w:rPr>
              <w:t>all eNodeBs synchronized</w:t>
            </w:r>
          </w:p>
          <w:p>
            <w:pPr>
              <w:numPr>
                <w:ilvl w:val="0"/>
                <w:numId w:val="12"/>
              </w:numPr>
              <w:tabs>
                <w:tab w:val="left" w:pos="720"/>
                <w:tab w:val="clear" w:pos="928"/>
              </w:tabs>
              <w:spacing w:before="120" w:after="120" w:line="240" w:lineRule="auto"/>
              <w:ind w:left="720"/>
              <w:rPr>
                <w:sz w:val="20"/>
              </w:rPr>
            </w:pPr>
            <w:r>
              <w:rPr>
                <w:sz w:val="20"/>
              </w:rPr>
              <w:t>eNodeBs on different carriers not synchronized</w:t>
            </w:r>
          </w:p>
          <w:p>
            <w:pPr>
              <w:numPr>
                <w:ilvl w:val="0"/>
                <w:numId w:val="12"/>
              </w:numPr>
              <w:tabs>
                <w:tab w:val="left" w:pos="720"/>
                <w:tab w:val="clear" w:pos="928"/>
              </w:tabs>
              <w:spacing w:before="120" w:after="120" w:line="240" w:lineRule="auto"/>
              <w:ind w:left="720"/>
              <w:rPr>
                <w:sz w:val="20"/>
              </w:rPr>
            </w:pPr>
            <w:r>
              <w:rPr>
                <w:sz w:val="20"/>
              </w:rPr>
              <w:t>eNodeBs on a given carrier not synchronized</w:t>
            </w:r>
          </w:p>
        </w:tc>
        <w:tc>
          <w:tcPr>
            <w:tcW w:w="4296" w:type="dxa"/>
            <w:tcBorders>
              <w:top w:val="single" w:color="auto" w:sz="4" w:space="0"/>
              <w:left w:val="single" w:color="auto" w:sz="4" w:space="0"/>
              <w:bottom w:val="single" w:color="auto" w:sz="4" w:space="0"/>
              <w:right w:val="single" w:color="auto" w:sz="4" w:space="0"/>
            </w:tcBorders>
            <w:vAlign w:val="center"/>
          </w:tcPr>
          <w:p>
            <w:pPr>
              <w:spacing w:before="120" w:after="120"/>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3"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rPr>
            </w:pPr>
            <w:r>
              <w:rPr>
                <w:rFonts w:ascii="Times New Roman" w:hAnsi="Times New Roman"/>
                <w:sz w:val="20"/>
              </w:rPr>
              <w:t>UE mobility (only used for small scale Doppler modeling of channels)</w:t>
            </w:r>
          </w:p>
        </w:tc>
        <w:tc>
          <w:tcPr>
            <w:tcW w:w="3550" w:type="dxa"/>
            <w:tcBorders>
              <w:top w:val="single" w:color="auto" w:sz="4" w:space="0"/>
              <w:left w:val="single" w:color="auto" w:sz="4" w:space="0"/>
              <w:bottom w:val="single" w:color="auto" w:sz="4" w:space="0"/>
              <w:right w:val="single" w:color="auto" w:sz="4" w:space="0"/>
            </w:tcBorders>
            <w:vAlign w:val="center"/>
          </w:tcPr>
          <w:p>
            <w:pPr>
              <w:spacing w:before="120" w:after="120"/>
              <w:rPr>
                <w:sz w:val="20"/>
              </w:rPr>
            </w:pPr>
            <w:r>
              <w:rPr>
                <w:sz w:val="20"/>
              </w:rPr>
              <w:t>3 km/hr</w:t>
            </w:r>
          </w:p>
        </w:tc>
        <w:tc>
          <w:tcPr>
            <w:tcW w:w="4296" w:type="dxa"/>
            <w:tcBorders>
              <w:top w:val="single" w:color="auto" w:sz="4" w:space="0"/>
              <w:left w:val="single" w:color="auto" w:sz="4" w:space="0"/>
              <w:bottom w:val="single" w:color="auto" w:sz="4" w:space="0"/>
              <w:right w:val="single" w:color="auto" w:sz="4" w:space="0"/>
            </w:tcBorders>
            <w:vAlign w:val="center"/>
          </w:tcPr>
          <w:p>
            <w:pPr>
              <w:spacing w:before="120" w:after="120"/>
              <w:rPr>
                <w:sz w:val="20"/>
              </w:rPr>
            </w:pPr>
            <w:r>
              <w:rPr>
                <w:sz w:val="20"/>
              </w:rPr>
              <w:t xml:space="preserve">60km/h for outdoor UEs in Option 5. </w:t>
            </w:r>
          </w:p>
          <w:p>
            <w:pPr>
              <w:spacing w:before="120" w:after="120"/>
              <w:rPr>
                <w:sz w:val="20"/>
              </w:rPr>
            </w:pPr>
            <w:r>
              <w:rPr>
                <w:sz w:val="20"/>
              </w:rPr>
              <w:t>3km/h for all other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rPr>
            </w:pPr>
            <w:r>
              <w:rPr>
                <w:rFonts w:ascii="Times New Roman" w:hAnsi="Times New Roman"/>
                <w:sz w:val="20"/>
              </w:rPr>
              <w:t>UE RF parameters</w:t>
            </w:r>
          </w:p>
        </w:tc>
        <w:tc>
          <w:tcPr>
            <w:tcW w:w="7846" w:type="dxa"/>
            <w:gridSpan w:val="2"/>
            <w:tcBorders>
              <w:top w:val="single" w:color="auto" w:sz="4" w:space="0"/>
              <w:left w:val="single" w:color="auto" w:sz="4" w:space="0"/>
              <w:bottom w:val="single" w:color="auto" w:sz="4" w:space="0"/>
              <w:right w:val="single" w:color="auto" w:sz="4" w:space="0"/>
            </w:tcBorders>
            <w:vAlign w:val="center"/>
          </w:tcPr>
          <w:p>
            <w:pPr>
              <w:spacing w:before="120" w:after="120"/>
              <w:rPr>
                <w:sz w:val="20"/>
              </w:rPr>
            </w:pPr>
            <w:r>
              <w:rPr>
                <w:sz w:val="20"/>
              </w:rPr>
              <w:t>Max transmit power of  23 dBm for non public safety, 23 dBm, 31 dBm for public safety</w:t>
            </w:r>
          </w:p>
          <w:p>
            <w:pPr>
              <w:spacing w:before="120" w:after="120"/>
              <w:rPr>
                <w:sz w:val="20"/>
              </w:rPr>
            </w:pPr>
            <w:r>
              <w:rPr>
                <w:sz w:val="20"/>
              </w:rPr>
              <w:t>1 Tx (2 Tx optional for public safety only), 2 Rx antenna, Antenna gain 0 dBi, Noise figure 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9"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rPr>
            </w:pPr>
            <w:r>
              <w:rPr>
                <w:rFonts w:ascii="Times New Roman" w:hAnsi="Times New Roman"/>
                <w:sz w:val="20"/>
              </w:rPr>
              <w:t>eNodeB RF parameters</w:t>
            </w:r>
          </w:p>
        </w:tc>
        <w:tc>
          <w:tcPr>
            <w:tcW w:w="7846" w:type="dxa"/>
            <w:gridSpan w:val="2"/>
            <w:tcBorders>
              <w:top w:val="single" w:color="auto" w:sz="4" w:space="0"/>
              <w:left w:val="single" w:color="auto" w:sz="4" w:space="0"/>
              <w:bottom w:val="single" w:color="auto" w:sz="4" w:space="0"/>
              <w:right w:val="single" w:color="auto" w:sz="4" w:space="0"/>
            </w:tcBorders>
            <w:vAlign w:val="center"/>
          </w:tcPr>
          <w:p>
            <w:pPr>
              <w:spacing w:before="120" w:after="120"/>
              <w:rPr>
                <w:sz w:val="20"/>
              </w:rPr>
            </w:pPr>
            <w:r>
              <w:rPr>
                <w:sz w:val="20"/>
              </w:rPr>
              <w:t>As specified in 3GPP Case 1, except for Option 5 which uses parameters as specified in 3GPP Case 3 (Table A.2.1.1.1 of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rPr>
            </w:pPr>
            <w:r>
              <w:rPr>
                <w:rFonts w:ascii="Times New Roman" w:hAnsi="Times New Roman"/>
                <w:sz w:val="20"/>
              </w:rPr>
              <w:t>Non D2D traffic</w:t>
            </w:r>
          </w:p>
        </w:tc>
        <w:tc>
          <w:tcPr>
            <w:tcW w:w="7846" w:type="dxa"/>
            <w:gridSpan w:val="2"/>
            <w:tcBorders>
              <w:top w:val="single" w:color="auto" w:sz="4" w:space="0"/>
              <w:left w:val="single" w:color="auto" w:sz="4" w:space="0"/>
              <w:bottom w:val="single" w:color="auto" w:sz="4" w:space="0"/>
              <w:right w:val="single" w:color="auto" w:sz="4" w:space="0"/>
            </w:tcBorders>
            <w:vAlign w:val="center"/>
          </w:tcPr>
          <w:p>
            <w:pPr>
              <w:spacing w:before="120" w:after="120"/>
              <w:rPr>
                <w:sz w:val="20"/>
              </w:rPr>
            </w:pPr>
            <w:r>
              <w:rPr>
                <w:sz w:val="20"/>
              </w:rPr>
              <w:t>With probability {X}, a UE has non D2D (downlink &amp; uplink) traffic.</w:t>
            </w:r>
          </w:p>
          <w:p>
            <w:pPr>
              <w:spacing w:before="120" w:after="120"/>
              <w:rPr>
                <w:sz w:val="20"/>
              </w:rPr>
            </w:pPr>
            <w:r>
              <w:rPr>
                <w:sz w:val="20"/>
              </w:rPr>
              <w:t>WAN traffic source shall be FTP2.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3" w:hRule="atLeast"/>
          <w:jc w:val="center"/>
        </w:trPr>
        <w:tc>
          <w:tcPr>
            <w:tcW w:w="2994" w:type="dxa"/>
            <w:tcBorders>
              <w:top w:val="single" w:color="auto" w:sz="4" w:space="0"/>
              <w:left w:val="single" w:color="auto" w:sz="4" w:space="0"/>
              <w:right w:val="single" w:color="auto" w:sz="4" w:space="0"/>
            </w:tcBorders>
            <w:vAlign w:val="center"/>
          </w:tcPr>
          <w:p>
            <w:pPr>
              <w:pStyle w:val="44"/>
              <w:spacing w:before="120" w:after="120"/>
              <w:jc w:val="left"/>
              <w:rPr>
                <w:rFonts w:ascii="Times New Roman" w:hAnsi="Times New Roman"/>
                <w:sz w:val="20"/>
                <w:vertAlign w:val="superscript"/>
              </w:rPr>
            </w:pPr>
            <w:r>
              <w:rPr>
                <w:rFonts w:ascii="Times New Roman" w:hAnsi="Times New Roman"/>
                <w:sz w:val="20"/>
              </w:rPr>
              <w:t>Total number of active UEs</w:t>
            </w:r>
            <w:r>
              <w:rPr>
                <w:rFonts w:ascii="Times New Roman" w:hAnsi="Times New Roman"/>
                <w:sz w:val="20"/>
                <w:vertAlign w:val="superscript"/>
              </w:rPr>
              <w:t>b</w:t>
            </w:r>
            <w:r>
              <w:rPr>
                <w:rFonts w:ascii="Times New Roman" w:hAnsi="Times New Roman"/>
                <w:sz w:val="20"/>
              </w:rPr>
              <w:t xml:space="preserve">  per cell area</w:t>
            </w:r>
            <w:r>
              <w:rPr>
                <w:rFonts w:ascii="Times New Roman" w:hAnsi="Times New Roman"/>
                <w:sz w:val="20"/>
                <w:vertAlign w:val="superscript"/>
              </w:rPr>
              <w:t>c</w:t>
            </w:r>
          </w:p>
          <w:p>
            <w:pPr>
              <w:pStyle w:val="44"/>
              <w:spacing w:before="120" w:after="120"/>
              <w:jc w:val="left"/>
              <w:rPr>
                <w:rFonts w:ascii="Times New Roman" w:hAnsi="Times New Roman"/>
                <w:sz w:val="20"/>
              </w:rPr>
            </w:pPr>
          </w:p>
        </w:tc>
        <w:tc>
          <w:tcPr>
            <w:tcW w:w="3550" w:type="dxa"/>
            <w:tcBorders>
              <w:top w:val="single" w:color="auto" w:sz="4" w:space="0"/>
              <w:left w:val="single" w:color="auto" w:sz="4" w:space="0"/>
              <w:right w:val="single" w:color="auto" w:sz="4" w:space="0"/>
            </w:tcBorders>
            <w:vAlign w:val="center"/>
          </w:tcPr>
          <w:p>
            <w:pPr>
              <w:spacing w:before="120" w:after="120"/>
              <w:rPr>
                <w:sz w:val="20"/>
              </w:rPr>
            </w:pPr>
            <w:r>
              <w:rPr>
                <w:sz w:val="20"/>
              </w:rPr>
              <w:t>Layout Option 1</w:t>
            </w:r>
          </w:p>
          <w:p>
            <w:pPr>
              <w:spacing w:before="120" w:after="120"/>
              <w:rPr>
                <w:sz w:val="20"/>
              </w:rPr>
            </w:pPr>
            <w:r>
              <w:rPr>
                <w:sz w:val="20"/>
              </w:rPr>
              <w:t>Indoor-outdoor mix: 25</w:t>
            </w:r>
          </w:p>
          <w:p>
            <w:pPr>
              <w:spacing w:before="120" w:after="120"/>
              <w:rPr>
                <w:sz w:val="20"/>
              </w:rPr>
            </w:pPr>
          </w:p>
        </w:tc>
        <w:tc>
          <w:tcPr>
            <w:tcW w:w="4296" w:type="dxa"/>
            <w:tcBorders>
              <w:top w:val="single" w:color="auto" w:sz="4" w:space="0"/>
              <w:left w:val="single" w:color="auto" w:sz="4" w:space="0"/>
              <w:right w:val="single" w:color="auto" w:sz="4" w:space="0"/>
            </w:tcBorders>
            <w:vAlign w:val="center"/>
          </w:tcPr>
          <w:p>
            <w:pPr>
              <w:spacing w:before="120" w:after="120"/>
              <w:rPr>
                <w:sz w:val="20"/>
              </w:rPr>
            </w:pPr>
            <w:r>
              <w:rPr>
                <w:sz w:val="20"/>
              </w:rPr>
              <w:t>Layout  Option 5</w:t>
            </w:r>
          </w:p>
          <w:p>
            <w:pPr>
              <w:spacing w:before="120" w:after="120"/>
              <w:rPr>
                <w:sz w:val="20"/>
              </w:rPr>
            </w:pPr>
            <w:r>
              <w:rPr>
                <w:sz w:val="20"/>
              </w:rPr>
              <w:t>Indoor-outdoor mix: 10</w:t>
            </w:r>
          </w:p>
          <w:p>
            <w:pPr>
              <w:spacing w:before="120" w:after="120"/>
              <w:rPr>
                <w:sz w:val="20"/>
              </w:rPr>
            </w:pPr>
            <w:r>
              <w:rPr>
                <w:sz w:val="20"/>
              </w:rPr>
              <w:t>Uniform (outdoor): 10</w:t>
            </w:r>
          </w:p>
          <w:p>
            <w:pPr>
              <w:spacing w:before="120" w:after="120"/>
              <w:rPr>
                <w:sz w:val="20"/>
              </w:rPr>
            </w:pPr>
            <w:r>
              <w:rPr>
                <w:sz w:val="20"/>
              </w:rPr>
              <w:t>Hotspot: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3" w:hRule="atLeast"/>
          <w:jc w:val="center"/>
        </w:trPr>
        <w:tc>
          <w:tcPr>
            <w:tcW w:w="2994" w:type="dxa"/>
            <w:tcBorders>
              <w:left w:val="single" w:color="auto" w:sz="4" w:space="0"/>
              <w:right w:val="single" w:color="auto" w:sz="4" w:space="0"/>
            </w:tcBorders>
            <w:vAlign w:val="center"/>
          </w:tcPr>
          <w:p>
            <w:pPr>
              <w:pStyle w:val="44"/>
              <w:spacing w:before="120" w:after="120"/>
              <w:jc w:val="left"/>
              <w:rPr>
                <w:rFonts w:ascii="Times New Roman" w:hAnsi="Times New Roman"/>
                <w:sz w:val="20"/>
                <w:vertAlign w:val="superscript"/>
              </w:rPr>
            </w:pPr>
            <w:r>
              <w:rPr>
                <w:rFonts w:ascii="Times New Roman" w:hAnsi="Times New Roman"/>
                <w:sz w:val="20"/>
              </w:rPr>
              <w:t>Total number of UEs (including active UEs</w:t>
            </w:r>
            <w:r>
              <w:rPr>
                <w:rFonts w:ascii="Times New Roman" w:hAnsi="Times New Roman"/>
                <w:sz w:val="20"/>
                <w:vertAlign w:val="superscript"/>
              </w:rPr>
              <w:t>b</w:t>
            </w:r>
            <w:r>
              <w:rPr>
                <w:rFonts w:ascii="Times New Roman" w:hAnsi="Times New Roman"/>
                <w:sz w:val="20"/>
              </w:rPr>
              <w:t>) for discovery  per cell</w:t>
            </w:r>
            <w:r>
              <w:rPr>
                <w:rFonts w:ascii="Times New Roman" w:hAnsi="Times New Roman"/>
                <w:sz w:val="20"/>
                <w:vertAlign w:val="superscript"/>
              </w:rPr>
              <w:t>c</w:t>
            </w:r>
          </w:p>
        </w:tc>
        <w:tc>
          <w:tcPr>
            <w:tcW w:w="3550" w:type="dxa"/>
            <w:tcBorders>
              <w:left w:val="single" w:color="auto" w:sz="4" w:space="0"/>
              <w:right w:val="single" w:color="auto" w:sz="4" w:space="0"/>
            </w:tcBorders>
            <w:vAlign w:val="center"/>
          </w:tcPr>
          <w:p>
            <w:pPr>
              <w:spacing w:before="120" w:after="120"/>
              <w:rPr>
                <w:sz w:val="20"/>
              </w:rPr>
            </w:pPr>
            <w:r>
              <w:rPr>
                <w:sz w:val="20"/>
              </w:rPr>
              <w:t>Layout Option 1</w:t>
            </w:r>
          </w:p>
          <w:p>
            <w:pPr>
              <w:spacing w:before="120" w:after="120"/>
              <w:rPr>
                <w:sz w:val="20"/>
              </w:rPr>
            </w:pPr>
            <w:r>
              <w:rPr>
                <w:sz w:val="20"/>
              </w:rPr>
              <w:t>Indoor-outdoor mix: 150</w:t>
            </w:r>
          </w:p>
        </w:tc>
        <w:tc>
          <w:tcPr>
            <w:tcW w:w="4296" w:type="dxa"/>
            <w:tcBorders>
              <w:top w:val="single" w:color="auto" w:sz="4" w:space="0"/>
              <w:left w:val="single" w:color="auto" w:sz="4" w:space="0"/>
              <w:right w:val="single" w:color="auto" w:sz="4" w:space="0"/>
            </w:tcBorders>
            <w:vAlign w:val="center"/>
          </w:tcPr>
          <w:p>
            <w:pPr>
              <w:spacing w:before="120" w:after="120"/>
              <w:rPr>
                <w:sz w:val="20"/>
              </w:rPr>
            </w:pPr>
            <w:r>
              <w:rPr>
                <w:sz w:val="20"/>
              </w:rPr>
              <w:t>Layout  Option 5</w:t>
            </w:r>
          </w:p>
          <w:p>
            <w:pPr>
              <w:spacing w:before="120" w:after="120"/>
              <w:rPr>
                <w:sz w:val="20"/>
              </w:rPr>
            </w:pPr>
            <w:r>
              <w:rPr>
                <w:sz w:val="20"/>
              </w:rPr>
              <w:t>Indoor-outdoor mix: 150</w:t>
            </w:r>
          </w:p>
          <w:p>
            <w:pPr>
              <w:spacing w:before="120" w:after="120"/>
              <w:rPr>
                <w:sz w:val="20"/>
              </w:rPr>
            </w:pPr>
            <w:r>
              <w:rPr>
                <w:sz w:val="20"/>
              </w:rPr>
              <w:t>Uniform (outdoor): 150</w:t>
            </w:r>
          </w:p>
          <w:p>
            <w:pPr>
              <w:spacing w:before="120" w:after="120"/>
              <w:rPr>
                <w:sz w:val="20"/>
              </w:rPr>
            </w:pPr>
            <w:r>
              <w:rPr>
                <w:sz w:val="20"/>
              </w:rPr>
              <w:t>Hotspot: 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0"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rPr>
            </w:pPr>
            <w:r>
              <w:rPr>
                <w:rFonts w:ascii="Times New Roman" w:hAnsi="Times New Roman"/>
                <w:sz w:val="20"/>
              </w:rPr>
              <w:t>Number of UEs participating in a D2D communication session</w:t>
            </w:r>
          </w:p>
        </w:tc>
        <w:tc>
          <w:tcPr>
            <w:tcW w:w="3550" w:type="dxa"/>
            <w:tcBorders>
              <w:top w:val="single" w:color="auto" w:sz="4" w:space="0"/>
              <w:left w:val="single" w:color="auto" w:sz="4" w:space="0"/>
              <w:bottom w:val="single" w:color="auto" w:sz="4" w:space="0"/>
              <w:right w:val="single" w:color="auto" w:sz="4" w:space="0"/>
            </w:tcBorders>
            <w:vAlign w:val="center"/>
          </w:tcPr>
          <w:p>
            <w:pPr>
              <w:spacing w:before="120" w:after="120"/>
              <w:rPr>
                <w:sz w:val="20"/>
              </w:rPr>
            </w:pPr>
            <w:r>
              <w:rPr>
                <w:sz w:val="20"/>
              </w:rPr>
              <w:t>Unicast : 2</w:t>
            </w:r>
          </w:p>
          <w:p>
            <w:pPr>
              <w:spacing w:before="120" w:after="120"/>
              <w:rPr>
                <w:sz w:val="20"/>
              </w:rPr>
            </w:pPr>
            <w:r>
              <w:rPr>
                <w:sz w:val="20"/>
              </w:rPr>
              <w:t>Groupcast: N/A</w:t>
            </w:r>
          </w:p>
          <w:p>
            <w:pPr>
              <w:spacing w:before="120" w:after="120"/>
              <w:rPr>
                <w:sz w:val="20"/>
              </w:rPr>
            </w:pPr>
            <w:r>
              <w:rPr>
                <w:sz w:val="20"/>
              </w:rPr>
              <w:t>Broadcast: N/A</w:t>
            </w:r>
          </w:p>
        </w:tc>
        <w:tc>
          <w:tcPr>
            <w:tcW w:w="4296" w:type="dxa"/>
            <w:tcBorders>
              <w:top w:val="single" w:color="auto" w:sz="4" w:space="0"/>
              <w:left w:val="single" w:color="auto" w:sz="4" w:space="0"/>
              <w:bottom w:val="single" w:color="auto" w:sz="4" w:space="0"/>
              <w:right w:val="single" w:color="auto" w:sz="4" w:space="0"/>
            </w:tcBorders>
            <w:vAlign w:val="center"/>
          </w:tcPr>
          <w:p>
            <w:pPr>
              <w:spacing w:before="120" w:after="120"/>
              <w:rPr>
                <w:sz w:val="20"/>
              </w:rPr>
            </w:pPr>
            <w:r>
              <w:rPr>
                <w:sz w:val="20"/>
              </w:rPr>
              <w:t>Unicast: 2</w:t>
            </w:r>
          </w:p>
          <w:p>
            <w:pPr>
              <w:spacing w:before="120" w:after="120"/>
              <w:rPr>
                <w:sz w:val="20"/>
              </w:rPr>
            </w:pPr>
            <w:r>
              <w:rPr>
                <w:sz w:val="20"/>
              </w:rPr>
              <w:t>Groupcast: 10 (One transmitter UE and 9 (N</w:t>
            </w:r>
            <w:r>
              <w:rPr>
                <w:sz w:val="20"/>
                <w:vertAlign w:val="subscript"/>
              </w:rPr>
              <w:t>gr</w:t>
            </w:r>
            <w:r>
              <w:rPr>
                <w:sz w:val="20"/>
              </w:rPr>
              <w:t>) receiver UEs)</w:t>
            </w:r>
          </w:p>
          <w:p>
            <w:pPr>
              <w:spacing w:before="120" w:after="120"/>
              <w:rPr>
                <w:sz w:val="20"/>
              </w:rPr>
            </w:pPr>
            <w:r>
              <w:rPr>
                <w:sz w:val="20"/>
              </w:rPr>
              <w:t>Broadcast: One transmitter UE and variable number of receiver UEs based on the association procedure defined in Section A.2.1.1.3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2"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vertAlign w:val="superscript"/>
              </w:rPr>
            </w:pPr>
            <w:r>
              <w:rPr>
                <w:rFonts w:ascii="Times New Roman" w:hAnsi="Times New Roman"/>
                <w:sz w:val="20"/>
              </w:rPr>
              <w:t>Average number of  communication sessions  per cell</w:t>
            </w:r>
            <w:r>
              <w:rPr>
                <w:rFonts w:ascii="Times New Roman" w:hAnsi="Times New Roman"/>
                <w:sz w:val="20"/>
                <w:vertAlign w:val="superscript"/>
              </w:rPr>
              <w:t>c</w:t>
            </w:r>
          </w:p>
        </w:tc>
        <w:tc>
          <w:tcPr>
            <w:tcW w:w="3550" w:type="dxa"/>
            <w:tcBorders>
              <w:top w:val="single" w:color="auto" w:sz="4" w:space="0"/>
              <w:left w:val="single" w:color="auto" w:sz="4" w:space="0"/>
              <w:bottom w:val="single" w:color="auto" w:sz="4" w:space="0"/>
              <w:right w:val="single" w:color="auto" w:sz="4" w:space="0"/>
            </w:tcBorders>
            <w:vAlign w:val="center"/>
          </w:tcPr>
          <w:p>
            <w:pPr>
              <w:spacing w:before="120" w:after="120"/>
              <w:rPr>
                <w:sz w:val="20"/>
              </w:rPr>
            </w:pPr>
            <w:r>
              <w:rPr>
                <w:sz w:val="20"/>
              </w:rPr>
              <w:t>Unicast: 12(N</w:t>
            </w:r>
            <w:r>
              <w:rPr>
                <w:sz w:val="20"/>
                <w:vertAlign w:val="subscript"/>
              </w:rPr>
              <w:t>u</w:t>
            </w:r>
            <w:r>
              <w:rPr>
                <w:sz w:val="20"/>
              </w:rPr>
              <w:t>)</w:t>
            </w:r>
          </w:p>
          <w:p>
            <w:pPr>
              <w:spacing w:before="120" w:after="120"/>
              <w:rPr>
                <w:sz w:val="20"/>
              </w:rPr>
            </w:pPr>
            <w:r>
              <w:rPr>
                <w:sz w:val="20"/>
              </w:rPr>
              <w:t>Groupcast: N/A</w:t>
            </w:r>
          </w:p>
          <w:p>
            <w:pPr>
              <w:spacing w:before="120" w:after="120"/>
              <w:rPr>
                <w:sz w:val="20"/>
              </w:rPr>
            </w:pPr>
            <w:r>
              <w:rPr>
                <w:sz w:val="20"/>
              </w:rPr>
              <w:t>Broadcast: N/A</w:t>
            </w:r>
          </w:p>
        </w:tc>
        <w:tc>
          <w:tcPr>
            <w:tcW w:w="4296" w:type="dxa"/>
            <w:tcBorders>
              <w:top w:val="single" w:color="auto" w:sz="4" w:space="0"/>
              <w:left w:val="single" w:color="auto" w:sz="4" w:space="0"/>
              <w:bottom w:val="single" w:color="auto" w:sz="4" w:space="0"/>
              <w:right w:val="single" w:color="auto" w:sz="4" w:space="0"/>
            </w:tcBorders>
            <w:vAlign w:val="center"/>
          </w:tcPr>
          <w:p>
            <w:pPr>
              <w:spacing w:before="120" w:after="120"/>
              <w:rPr>
                <w:sz w:val="20"/>
              </w:rPr>
            </w:pPr>
            <w:r>
              <w:rPr>
                <w:sz w:val="20"/>
              </w:rPr>
              <w:t>Unicast : 12 (N</w:t>
            </w:r>
            <w:r>
              <w:rPr>
                <w:sz w:val="20"/>
                <w:vertAlign w:val="subscript"/>
              </w:rPr>
              <w:t>u</w:t>
            </w:r>
            <w:r>
              <w:rPr>
                <w:sz w:val="20"/>
              </w:rPr>
              <w:t>)</w:t>
            </w:r>
          </w:p>
          <w:p>
            <w:pPr>
              <w:spacing w:before="120" w:after="120"/>
              <w:rPr>
                <w:sz w:val="20"/>
              </w:rPr>
            </w:pPr>
            <w:r>
              <w:rPr>
                <w:sz w:val="20"/>
              </w:rPr>
              <w:t>Groupcast: 3 (N</w:t>
            </w:r>
            <w:r>
              <w:rPr>
                <w:sz w:val="20"/>
                <w:vertAlign w:val="subscript"/>
              </w:rPr>
              <w:t>g</w:t>
            </w:r>
            <w:r>
              <w:rPr>
                <w:sz w:val="20"/>
              </w:rPr>
              <w:t>)</w:t>
            </w:r>
          </w:p>
          <w:p>
            <w:pPr>
              <w:spacing w:before="120" w:after="120"/>
              <w:rPr>
                <w:sz w:val="20"/>
              </w:rPr>
            </w:pPr>
            <w:r>
              <w:rPr>
                <w:sz w:val="20"/>
              </w:rPr>
              <w:t>Broadcast: 3 (N</w:t>
            </w:r>
            <w:r>
              <w:rPr>
                <w:sz w:val="20"/>
                <w:vertAlign w:val="subscript"/>
              </w:rPr>
              <w:t>b</w:t>
            </w:r>
            <w:r>
              <w:rPr>
                <w:sz w:val="20"/>
              </w:rPr>
              <w:t>), other optional values can be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51"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rPr>
            </w:pPr>
            <w:r>
              <w:rPr>
                <w:rFonts w:ascii="Times New Roman" w:hAnsi="Times New Roman"/>
                <w:sz w:val="20"/>
              </w:rPr>
              <w:t>UE drop for all UEs, for both discovery and communication evaluations</w:t>
            </w:r>
          </w:p>
        </w:tc>
        <w:tc>
          <w:tcPr>
            <w:tcW w:w="7846" w:type="dxa"/>
            <w:gridSpan w:val="2"/>
            <w:tcBorders>
              <w:top w:val="single" w:color="auto" w:sz="4" w:space="0"/>
              <w:left w:val="single" w:color="auto" w:sz="4" w:space="0"/>
              <w:bottom w:val="single" w:color="auto" w:sz="4" w:space="0"/>
              <w:right w:val="single" w:color="auto" w:sz="4" w:space="0"/>
            </w:tcBorders>
            <w:vAlign w:val="center"/>
          </w:tcPr>
          <w:p>
            <w:pPr>
              <w:pStyle w:val="45"/>
              <w:spacing w:before="120" w:after="120"/>
              <w:jc w:val="left"/>
              <w:rPr>
                <w:rFonts w:ascii="Times New Roman" w:hAnsi="Times New Roman"/>
                <w:sz w:val="20"/>
              </w:rPr>
            </w:pPr>
            <w:r>
              <w:rPr>
                <w:rFonts w:ascii="Times New Roman" w:hAnsi="Times New Roman"/>
                <w:sz w:val="20"/>
              </w:rPr>
              <w:t>For layout options 1,2, 4:</w:t>
            </w:r>
          </w:p>
          <w:p>
            <w:pPr>
              <w:pStyle w:val="45"/>
              <w:numPr>
                <w:ilvl w:val="0"/>
                <w:numId w:val="13"/>
              </w:numPr>
              <w:spacing w:before="120" w:after="120"/>
              <w:jc w:val="left"/>
              <w:rPr>
                <w:rFonts w:ascii="Times New Roman" w:hAnsi="Times New Roman"/>
                <w:sz w:val="20"/>
              </w:rPr>
            </w:pPr>
            <w:r>
              <w:rPr>
                <w:rFonts w:ascii="Times New Roman" w:hAnsi="Times New Roman"/>
                <w:sz w:val="20"/>
              </w:rPr>
              <w:t>2/3 UEs randomly and uniformly dropped within the clusters of small cell(s).</w:t>
            </w:r>
          </w:p>
          <w:p>
            <w:pPr>
              <w:pStyle w:val="45"/>
              <w:numPr>
                <w:ilvl w:val="0"/>
                <w:numId w:val="13"/>
              </w:numPr>
              <w:spacing w:before="120" w:after="120"/>
              <w:jc w:val="left"/>
              <w:rPr>
                <w:rFonts w:ascii="Times New Roman" w:hAnsi="Times New Roman"/>
                <w:sz w:val="20"/>
              </w:rPr>
            </w:pPr>
            <w:r>
              <w:rPr>
                <w:rFonts w:ascii="Times New Roman" w:hAnsi="Times New Roman"/>
                <w:sz w:val="20"/>
              </w:rPr>
              <w:t xml:space="preserve">Remaining 1/3 UEs randomly and uniformly dropped throughout the macro geographical area. </w:t>
            </w:r>
          </w:p>
          <w:p>
            <w:pPr>
              <w:pStyle w:val="45"/>
              <w:numPr>
                <w:ilvl w:val="0"/>
                <w:numId w:val="13"/>
              </w:numPr>
              <w:spacing w:before="120" w:after="120"/>
              <w:jc w:val="left"/>
              <w:rPr>
                <w:rFonts w:ascii="Times New Roman" w:hAnsi="Times New Roman"/>
                <w:sz w:val="20"/>
              </w:rPr>
            </w:pPr>
            <w:r>
              <w:rPr>
                <w:rFonts w:ascii="Times New Roman" w:hAnsi="Times New Roman"/>
                <w:sz w:val="20"/>
              </w:rPr>
              <w:t>20% UEs are outdoor, and 80% UEs are indoor.</w:t>
            </w:r>
            <w:r>
              <w:rPr>
                <w:rFonts w:ascii="Times New Roman" w:hAnsi="Times New Roman"/>
                <w:sz w:val="20"/>
                <w:vertAlign w:val="superscript"/>
              </w:rPr>
              <w:t>d</w:t>
            </w:r>
          </w:p>
          <w:p>
            <w:pPr>
              <w:pStyle w:val="45"/>
              <w:spacing w:before="120" w:after="120"/>
              <w:ind w:left="720"/>
              <w:jc w:val="left"/>
              <w:rPr>
                <w:rFonts w:ascii="Times New Roman" w:hAnsi="Times New Roman"/>
                <w:sz w:val="20"/>
              </w:rPr>
            </w:pPr>
          </w:p>
          <w:p>
            <w:pPr>
              <w:pStyle w:val="45"/>
              <w:spacing w:before="120" w:after="120"/>
              <w:jc w:val="left"/>
              <w:rPr>
                <w:rFonts w:ascii="Times New Roman" w:hAnsi="Times New Roman"/>
                <w:sz w:val="20"/>
              </w:rPr>
            </w:pPr>
            <w:r>
              <w:rPr>
                <w:rFonts w:ascii="Times New Roman" w:hAnsi="Times New Roman"/>
                <w:sz w:val="20"/>
              </w:rPr>
              <w:t xml:space="preserve">For layout option 3, 5, 6: </w:t>
            </w:r>
          </w:p>
          <w:p>
            <w:pPr>
              <w:pStyle w:val="45"/>
              <w:numPr>
                <w:ilvl w:val="0"/>
                <w:numId w:val="14"/>
              </w:numPr>
              <w:spacing w:before="120" w:after="120"/>
              <w:jc w:val="left"/>
              <w:rPr>
                <w:rFonts w:ascii="Times New Roman" w:hAnsi="Times New Roman"/>
                <w:sz w:val="20"/>
              </w:rPr>
            </w:pPr>
            <w:r>
              <w:rPr>
                <w:rFonts w:ascii="Times New Roman" w:hAnsi="Times New Roman"/>
                <w:sz w:val="20"/>
              </w:rPr>
              <w:t>Uniform drop: All UEs are randomly and uniformly dropped throughout the macro geographical area. All UEs are dropped outdoors. No buildings are dropped.</w:t>
            </w:r>
          </w:p>
          <w:p>
            <w:pPr>
              <w:pStyle w:val="45"/>
              <w:numPr>
                <w:ilvl w:val="0"/>
                <w:numId w:val="14"/>
              </w:numPr>
              <w:spacing w:before="120" w:after="120"/>
              <w:jc w:val="left"/>
              <w:rPr>
                <w:rFonts w:ascii="Times New Roman" w:hAnsi="Times New Roman"/>
                <w:sz w:val="20"/>
              </w:rPr>
            </w:pPr>
            <w:r>
              <w:rPr>
                <w:rFonts w:ascii="Times New Roman" w:hAnsi="Times New Roman"/>
                <w:sz w:val="20"/>
              </w:rPr>
              <w:t xml:space="preserve">Hotspot drop : </w:t>
            </w:r>
          </w:p>
          <w:p>
            <w:pPr>
              <w:pStyle w:val="45"/>
              <w:numPr>
                <w:ilvl w:val="1"/>
                <w:numId w:val="14"/>
              </w:numPr>
              <w:spacing w:before="120" w:after="120"/>
              <w:jc w:val="left"/>
              <w:rPr>
                <w:rFonts w:ascii="Times New Roman" w:hAnsi="Times New Roman"/>
                <w:sz w:val="20"/>
              </w:rPr>
            </w:pPr>
            <w:r>
              <w:rPr>
                <w:rFonts w:ascii="Times New Roman" w:hAnsi="Times New Roman"/>
                <w:sz w:val="20"/>
              </w:rPr>
              <w:t>Randomly select an area within each cell area.</w:t>
            </w:r>
          </w:p>
          <w:p>
            <w:pPr>
              <w:pStyle w:val="45"/>
              <w:numPr>
                <w:ilvl w:val="1"/>
                <w:numId w:val="14"/>
              </w:numPr>
              <w:spacing w:before="120" w:after="120"/>
              <w:jc w:val="left"/>
              <w:rPr>
                <w:rFonts w:ascii="Times New Roman" w:hAnsi="Times New Roman"/>
                <w:sz w:val="20"/>
              </w:rPr>
            </w:pPr>
            <w:r>
              <w:rPr>
                <w:rFonts w:ascii="Times New Roman" w:hAnsi="Times New Roman"/>
                <w:sz w:val="20"/>
              </w:rPr>
              <w:t>Randomly and uniformly drop 2/3 UEs within 40 m of the selected area.</w:t>
            </w:r>
          </w:p>
          <w:p>
            <w:pPr>
              <w:pStyle w:val="45"/>
              <w:numPr>
                <w:ilvl w:val="1"/>
                <w:numId w:val="14"/>
              </w:numPr>
              <w:spacing w:before="120" w:after="120"/>
              <w:jc w:val="left"/>
              <w:rPr>
                <w:rFonts w:ascii="Times New Roman" w:hAnsi="Times New Roman"/>
                <w:sz w:val="20"/>
              </w:rPr>
            </w:pPr>
            <w:r>
              <w:rPr>
                <w:rFonts w:ascii="Times New Roman" w:hAnsi="Times New Roman"/>
                <w:sz w:val="20"/>
              </w:rPr>
              <w:t>Randomly and uniformly drop the remaining 1/3 UEs to the entire macro geographical area of the given macro cell.</w:t>
            </w:r>
          </w:p>
          <w:p>
            <w:pPr>
              <w:pStyle w:val="45"/>
              <w:numPr>
                <w:ilvl w:val="1"/>
                <w:numId w:val="14"/>
              </w:numPr>
              <w:spacing w:before="120" w:after="120"/>
              <w:jc w:val="left"/>
              <w:rPr>
                <w:rFonts w:ascii="Times New Roman" w:hAnsi="Times New Roman"/>
                <w:sz w:val="20"/>
              </w:rPr>
            </w:pPr>
            <w:r>
              <w:rPr>
                <w:rFonts w:ascii="Times New Roman" w:hAnsi="Times New Roman"/>
                <w:sz w:val="20"/>
              </w:rPr>
              <w:t>All UEs are dropped outdoors.</w:t>
            </w:r>
          </w:p>
          <w:p>
            <w:pPr>
              <w:pStyle w:val="45"/>
              <w:numPr>
                <w:ilvl w:val="1"/>
                <w:numId w:val="14"/>
              </w:numPr>
              <w:spacing w:before="120" w:after="120"/>
              <w:jc w:val="left"/>
              <w:rPr>
                <w:rFonts w:ascii="Times New Roman" w:hAnsi="Times New Roman"/>
                <w:sz w:val="20"/>
              </w:rPr>
            </w:pPr>
            <w:r>
              <w:rPr>
                <w:rFonts w:ascii="Times New Roman" w:hAnsi="Times New Roman"/>
                <w:sz w:val="20"/>
              </w:rPr>
              <w:t>No buildings are dropped.</w:t>
            </w:r>
          </w:p>
          <w:p>
            <w:pPr>
              <w:pStyle w:val="45"/>
              <w:numPr>
                <w:ilvl w:val="1"/>
                <w:numId w:val="14"/>
              </w:numPr>
              <w:spacing w:before="120" w:after="120"/>
              <w:jc w:val="left"/>
              <w:rPr>
                <w:rFonts w:ascii="Times New Roman" w:hAnsi="Times New Roman"/>
                <w:sz w:val="20"/>
              </w:rPr>
            </w:pPr>
            <w:r>
              <w:rPr>
                <w:rFonts w:ascii="Times New Roman" w:hAnsi="Times New Roman"/>
                <w:sz w:val="20"/>
              </w:rPr>
              <w:t>Minimum distance between eNodeB and Hotspot center</w:t>
            </w:r>
            <w:r>
              <w:rPr>
                <w:rFonts w:ascii="Times New Roman" w:hAnsi="Times New Roman"/>
                <w:sz w:val="20"/>
                <w:vertAlign w:val="superscript"/>
              </w:rPr>
              <w:t>e</w:t>
            </w:r>
            <w:r>
              <w:rPr>
                <w:rFonts w:ascii="Times New Roman" w:hAnsi="Times New Roman"/>
                <w:sz w:val="20"/>
              </w:rPr>
              <w:t>: 75m</w:t>
            </w:r>
          </w:p>
          <w:p>
            <w:pPr>
              <w:pStyle w:val="45"/>
              <w:numPr>
                <w:ilvl w:val="1"/>
                <w:numId w:val="14"/>
              </w:numPr>
              <w:spacing w:before="120" w:after="120"/>
              <w:jc w:val="left"/>
              <w:rPr>
                <w:rFonts w:ascii="Times New Roman" w:hAnsi="Times New Roman"/>
                <w:sz w:val="20"/>
              </w:rPr>
            </w:pPr>
            <w:r>
              <w:rPr>
                <w:rFonts w:ascii="Times New Roman" w:hAnsi="Times New Roman"/>
                <w:sz w:val="20"/>
              </w:rPr>
              <w:t>Minimum distance between Hotspot centers: 80m</w:t>
            </w:r>
          </w:p>
          <w:p>
            <w:pPr>
              <w:pStyle w:val="45"/>
              <w:spacing w:before="120" w:after="120"/>
              <w:jc w:val="left"/>
              <w:rPr>
                <w:rFonts w:ascii="Times New Roman" w:hAnsi="Times New Roman"/>
                <w:sz w:val="20"/>
              </w:rPr>
            </w:pPr>
          </w:p>
          <w:p>
            <w:pPr>
              <w:pStyle w:val="45"/>
              <w:spacing w:before="120" w:after="120"/>
              <w:jc w:val="left"/>
              <w:rPr>
                <w:rFonts w:ascii="Times New Roman" w:hAnsi="Times New Roman"/>
                <w:sz w:val="20"/>
              </w:rPr>
            </w:pPr>
            <w:r>
              <w:rPr>
                <w:rFonts w:ascii="Times New Roman" w:hAnsi="Times New Roman"/>
                <w:sz w:val="20"/>
              </w:rPr>
              <w:t>Additionally for layout option 5:</w:t>
            </w:r>
          </w:p>
          <w:p>
            <w:pPr>
              <w:pStyle w:val="45"/>
              <w:numPr>
                <w:ilvl w:val="0"/>
                <w:numId w:val="15"/>
              </w:numPr>
              <w:spacing w:before="120" w:after="120"/>
              <w:jc w:val="left"/>
              <w:rPr>
                <w:rFonts w:ascii="Times New Roman" w:hAnsi="Times New Roman"/>
                <w:sz w:val="20"/>
              </w:rPr>
            </w:pPr>
            <w:r>
              <w:rPr>
                <w:rFonts w:ascii="Times New Roman" w:hAnsi="Times New Roman"/>
                <w:sz w:val="20"/>
              </w:rPr>
              <w:t>Drop 2 RRH buildings (without RRHs) in each cell area. (See A.2.1.1.5 in [3])</w:t>
            </w:r>
          </w:p>
          <w:p>
            <w:pPr>
              <w:pStyle w:val="45"/>
              <w:numPr>
                <w:ilvl w:val="0"/>
                <w:numId w:val="15"/>
              </w:numPr>
              <w:spacing w:before="120" w:after="120"/>
              <w:jc w:val="left"/>
              <w:rPr>
                <w:rFonts w:ascii="Times New Roman" w:hAnsi="Times New Roman"/>
                <w:sz w:val="20"/>
              </w:rPr>
            </w:pPr>
            <w:r>
              <w:rPr>
                <w:rFonts w:ascii="Times New Roman" w:hAnsi="Times New Roman"/>
                <w:sz w:val="20"/>
              </w:rPr>
              <w:t>Drop 2/3 of UEs inside of the dropped buildings and 1/3 of UEs uniformly over geographical area. Keep the indoor-outdoor user distribution, so that 80% of terminals are indoor UEs</w:t>
            </w:r>
            <w:r>
              <w:rPr>
                <w:rFonts w:ascii="Times New Roman" w:hAnsi="Times New Roman"/>
                <w:sz w:val="20"/>
                <w:vertAlign w:val="superscript"/>
              </w:rPr>
              <w:t>d</w:t>
            </w:r>
            <w:r>
              <w:rPr>
                <w:rFonts w:ascii="Times New Roman" w:hAnsi="Times New Roman"/>
                <w:sz w:val="20"/>
              </w:rPr>
              <w:t xml:space="preserve"> and 20% of UEs are outdoor UEs.</w:t>
            </w:r>
          </w:p>
          <w:p>
            <w:pPr>
              <w:spacing w:before="120" w:after="120"/>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6"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rPr>
            </w:pPr>
            <w:r>
              <w:rPr>
                <w:rFonts w:ascii="Times New Roman" w:hAnsi="Times New Roman"/>
                <w:sz w:val="20"/>
              </w:rPr>
              <w:t>UE association for unicast D2D communication</w:t>
            </w:r>
          </w:p>
        </w:tc>
        <w:tc>
          <w:tcPr>
            <w:tcW w:w="7846" w:type="dxa"/>
            <w:gridSpan w:val="2"/>
            <w:tcBorders>
              <w:top w:val="single" w:color="auto" w:sz="4" w:space="0"/>
              <w:left w:val="single" w:color="auto" w:sz="4" w:space="0"/>
              <w:bottom w:val="single" w:color="auto" w:sz="4" w:space="0"/>
              <w:right w:val="single" w:color="auto" w:sz="4" w:space="0"/>
            </w:tcBorders>
            <w:vAlign w:val="center"/>
          </w:tcPr>
          <w:p>
            <w:pPr>
              <w:pStyle w:val="45"/>
              <w:spacing w:before="120" w:after="120"/>
              <w:jc w:val="left"/>
              <w:rPr>
                <w:rFonts w:ascii="Times New Roman" w:hAnsi="Times New Roman"/>
                <w:sz w:val="20"/>
              </w:rPr>
            </w:pPr>
            <w:r>
              <w:rPr>
                <w:rFonts w:ascii="Times New Roman" w:hAnsi="Times New Roman"/>
                <w:sz w:val="20"/>
              </w:rPr>
              <w:t>Refer to Section A.2.1.1.1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6"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rPr>
            </w:pPr>
            <w:r>
              <w:rPr>
                <w:rFonts w:ascii="Times New Roman" w:hAnsi="Times New Roman"/>
                <w:sz w:val="20"/>
              </w:rPr>
              <w:t xml:space="preserve">UE association for groupcast D2D communication </w:t>
            </w:r>
          </w:p>
        </w:tc>
        <w:tc>
          <w:tcPr>
            <w:tcW w:w="3550" w:type="dxa"/>
            <w:tcBorders>
              <w:top w:val="single" w:color="auto" w:sz="4" w:space="0"/>
              <w:left w:val="single" w:color="auto" w:sz="4" w:space="0"/>
              <w:bottom w:val="single" w:color="auto" w:sz="4" w:space="0"/>
              <w:right w:val="single" w:color="auto" w:sz="4" w:space="0"/>
            </w:tcBorders>
            <w:vAlign w:val="center"/>
          </w:tcPr>
          <w:p>
            <w:pPr>
              <w:pStyle w:val="45"/>
              <w:spacing w:before="120" w:after="120"/>
              <w:jc w:val="left"/>
              <w:rPr>
                <w:rFonts w:ascii="Times New Roman" w:hAnsi="Times New Roman"/>
                <w:sz w:val="20"/>
              </w:rPr>
            </w:pPr>
            <w:r>
              <w:rPr>
                <w:rFonts w:ascii="Times New Roman" w:hAnsi="Times New Roman"/>
                <w:sz w:val="20"/>
              </w:rPr>
              <w:t>N/A</w:t>
            </w:r>
          </w:p>
        </w:tc>
        <w:tc>
          <w:tcPr>
            <w:tcW w:w="4296" w:type="dxa"/>
            <w:tcBorders>
              <w:top w:val="single" w:color="auto" w:sz="4" w:space="0"/>
              <w:left w:val="single" w:color="auto" w:sz="4" w:space="0"/>
              <w:bottom w:val="single" w:color="auto" w:sz="4" w:space="0"/>
              <w:right w:val="single" w:color="auto" w:sz="4" w:space="0"/>
            </w:tcBorders>
            <w:vAlign w:val="center"/>
          </w:tcPr>
          <w:p>
            <w:pPr>
              <w:pStyle w:val="45"/>
              <w:spacing w:before="120" w:after="120"/>
              <w:jc w:val="left"/>
              <w:rPr>
                <w:rFonts w:ascii="Times New Roman" w:hAnsi="Times New Roman"/>
                <w:sz w:val="20"/>
              </w:rPr>
            </w:pPr>
            <w:r>
              <w:rPr>
                <w:rFonts w:ascii="Times New Roman" w:hAnsi="Times New Roman"/>
                <w:sz w:val="20"/>
              </w:rPr>
              <w:t>Refer to Section A.2.1.1.2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6"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rPr>
            </w:pPr>
            <w:r>
              <w:rPr>
                <w:rFonts w:ascii="Times New Roman" w:hAnsi="Times New Roman"/>
                <w:sz w:val="20"/>
              </w:rPr>
              <w:t xml:space="preserve">UE association for broadcast D2D communication  </w:t>
            </w:r>
          </w:p>
        </w:tc>
        <w:tc>
          <w:tcPr>
            <w:tcW w:w="3550" w:type="dxa"/>
            <w:tcBorders>
              <w:top w:val="single" w:color="auto" w:sz="4" w:space="0"/>
              <w:left w:val="single" w:color="auto" w:sz="4" w:space="0"/>
              <w:bottom w:val="single" w:color="auto" w:sz="4" w:space="0"/>
              <w:right w:val="single" w:color="auto" w:sz="4" w:space="0"/>
            </w:tcBorders>
            <w:vAlign w:val="center"/>
          </w:tcPr>
          <w:p>
            <w:pPr>
              <w:pStyle w:val="45"/>
              <w:spacing w:before="120" w:after="120"/>
              <w:jc w:val="left"/>
              <w:rPr>
                <w:rFonts w:ascii="Times New Roman" w:hAnsi="Times New Roman"/>
                <w:sz w:val="20"/>
              </w:rPr>
            </w:pPr>
            <w:r>
              <w:rPr>
                <w:rFonts w:ascii="Times New Roman" w:hAnsi="Times New Roman"/>
                <w:sz w:val="20"/>
              </w:rPr>
              <w:t>N/A</w:t>
            </w:r>
          </w:p>
        </w:tc>
        <w:tc>
          <w:tcPr>
            <w:tcW w:w="4296" w:type="dxa"/>
            <w:tcBorders>
              <w:top w:val="single" w:color="auto" w:sz="4" w:space="0"/>
              <w:left w:val="single" w:color="auto" w:sz="4" w:space="0"/>
              <w:bottom w:val="single" w:color="auto" w:sz="4" w:space="0"/>
              <w:right w:val="single" w:color="auto" w:sz="4" w:space="0"/>
            </w:tcBorders>
            <w:vAlign w:val="center"/>
          </w:tcPr>
          <w:p>
            <w:pPr>
              <w:pStyle w:val="45"/>
              <w:spacing w:before="120" w:after="120"/>
              <w:jc w:val="left"/>
              <w:rPr>
                <w:rFonts w:ascii="Times New Roman" w:hAnsi="Times New Roman"/>
                <w:sz w:val="20"/>
              </w:rPr>
            </w:pPr>
            <w:r>
              <w:rPr>
                <w:rFonts w:ascii="Times New Roman" w:hAnsi="Times New Roman"/>
                <w:sz w:val="20"/>
              </w:rPr>
              <w:t>Refer to Section A.2.1.1.3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0"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rPr>
            </w:pPr>
            <w:r>
              <w:rPr>
                <w:rFonts w:ascii="Times New Roman" w:hAnsi="Times New Roman"/>
                <w:sz w:val="20"/>
              </w:rPr>
              <w:t xml:space="preserve">UE association for Relay D2D communication </w:t>
            </w:r>
          </w:p>
        </w:tc>
        <w:tc>
          <w:tcPr>
            <w:tcW w:w="3550" w:type="dxa"/>
            <w:tcBorders>
              <w:top w:val="single" w:color="auto" w:sz="4" w:space="0"/>
              <w:left w:val="single" w:color="auto" w:sz="4" w:space="0"/>
              <w:bottom w:val="single" w:color="auto" w:sz="4" w:space="0"/>
              <w:right w:val="single" w:color="auto" w:sz="4" w:space="0"/>
            </w:tcBorders>
            <w:vAlign w:val="center"/>
          </w:tcPr>
          <w:p>
            <w:pPr>
              <w:pStyle w:val="45"/>
              <w:spacing w:before="120" w:after="120"/>
              <w:rPr>
                <w:rFonts w:ascii="Times New Roman" w:hAnsi="Times New Roman"/>
                <w:sz w:val="20"/>
              </w:rPr>
            </w:pPr>
            <w:r>
              <w:rPr>
                <w:rFonts w:ascii="Times New Roman" w:hAnsi="Times New Roman"/>
                <w:sz w:val="20"/>
              </w:rPr>
              <w:t>N/A</w:t>
            </w:r>
          </w:p>
        </w:tc>
        <w:tc>
          <w:tcPr>
            <w:tcW w:w="4296" w:type="dxa"/>
            <w:tcBorders>
              <w:top w:val="single" w:color="auto" w:sz="4" w:space="0"/>
              <w:left w:val="single" w:color="auto" w:sz="4" w:space="0"/>
              <w:bottom w:val="single" w:color="auto" w:sz="4" w:space="0"/>
              <w:right w:val="single" w:color="auto" w:sz="4" w:space="0"/>
            </w:tcBorders>
            <w:vAlign w:val="center"/>
          </w:tcPr>
          <w:p>
            <w:pPr>
              <w:pStyle w:val="45"/>
              <w:spacing w:before="120" w:after="120"/>
              <w:jc w:val="left"/>
              <w:rPr>
                <w:rFonts w:ascii="Times New Roman" w:hAnsi="Times New Roman"/>
                <w:sz w:val="20"/>
              </w:rPr>
            </w:pPr>
            <w:r>
              <w:rPr>
                <w:rFonts w:ascii="Times New Roman" w:hAnsi="Times New Roman"/>
                <w:sz w:val="20"/>
              </w:rPr>
              <w:t>First UE is randomly selected from all UEs without eNodeB coverage and 2</w:t>
            </w:r>
            <w:r>
              <w:rPr>
                <w:rFonts w:ascii="Times New Roman" w:hAnsi="Times New Roman"/>
                <w:sz w:val="20"/>
                <w:vertAlign w:val="superscript"/>
              </w:rPr>
              <w:t>nd</w:t>
            </w:r>
            <w:r>
              <w:rPr>
                <w:rFonts w:ascii="Times New Roman" w:hAnsi="Times New Roman"/>
                <w:sz w:val="20"/>
              </w:rPr>
              <w:t xml:space="preserve"> UE is selected from the UEs within eNodeB coverage </w:t>
            </w:r>
          </w:p>
          <w:p>
            <w:pPr>
              <w:pStyle w:val="45"/>
              <w:spacing w:before="120" w:after="120"/>
              <w:jc w:val="left"/>
              <w:rPr>
                <w:rFonts w:ascii="Times New Roman" w:hAnsi="Times New Roman"/>
                <w:sz w:val="20"/>
              </w:rPr>
            </w:pPr>
          </w:p>
          <w:p>
            <w:pPr>
              <w:pStyle w:val="45"/>
              <w:spacing w:before="120" w:after="120"/>
              <w:jc w:val="left"/>
              <w:rPr>
                <w:rFonts w:ascii="Times New Roman" w:hAnsi="Times New Roman"/>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6"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rPr>
            </w:pPr>
            <w:r>
              <w:rPr>
                <w:rFonts w:ascii="Times New Roman" w:hAnsi="Times New Roman"/>
                <w:sz w:val="20"/>
              </w:rPr>
              <w:t>Minimum distance between eNodeB and building center</w:t>
            </w:r>
            <w:r>
              <w:rPr>
                <w:rFonts w:ascii="Times New Roman" w:hAnsi="Times New Roman"/>
                <w:sz w:val="20"/>
                <w:vertAlign w:val="superscript"/>
              </w:rPr>
              <w:t>e</w:t>
            </w:r>
          </w:p>
        </w:tc>
        <w:tc>
          <w:tcPr>
            <w:tcW w:w="7846" w:type="dxa"/>
            <w:gridSpan w:val="2"/>
            <w:tcBorders>
              <w:top w:val="single" w:color="auto" w:sz="4" w:space="0"/>
              <w:left w:val="single" w:color="auto" w:sz="4" w:space="0"/>
              <w:bottom w:val="single" w:color="auto" w:sz="4" w:space="0"/>
              <w:right w:val="single" w:color="auto" w:sz="4" w:space="0"/>
            </w:tcBorders>
            <w:vAlign w:val="center"/>
          </w:tcPr>
          <w:p>
            <w:pPr>
              <w:pStyle w:val="45"/>
              <w:spacing w:before="120" w:after="120"/>
              <w:rPr>
                <w:rFonts w:ascii="Times New Roman" w:hAnsi="Times New Roman"/>
                <w:sz w:val="20"/>
              </w:rPr>
            </w:pPr>
            <w:r>
              <w:rPr>
                <w:rFonts w:ascii="Times New Roman" w:hAnsi="Times New Roman"/>
                <w:sz w:val="20"/>
              </w:rPr>
              <w:t>100 m, applicable to Option 1 and Option 5 (Indoor-outdoor mix)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6"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rPr>
            </w:pPr>
            <w:r>
              <w:rPr>
                <w:rFonts w:ascii="Times New Roman" w:hAnsi="Times New Roman"/>
                <w:sz w:val="20"/>
              </w:rPr>
              <w:t>Minimum distance between UE and eNodeB</w:t>
            </w:r>
          </w:p>
        </w:tc>
        <w:tc>
          <w:tcPr>
            <w:tcW w:w="7846" w:type="dxa"/>
            <w:gridSpan w:val="2"/>
            <w:tcBorders>
              <w:top w:val="single" w:color="auto" w:sz="4" w:space="0"/>
              <w:left w:val="single" w:color="auto" w:sz="4" w:space="0"/>
              <w:bottom w:val="single" w:color="auto" w:sz="4" w:space="0"/>
              <w:right w:val="single" w:color="auto" w:sz="4" w:space="0"/>
            </w:tcBorders>
            <w:vAlign w:val="center"/>
          </w:tcPr>
          <w:p>
            <w:pPr>
              <w:pStyle w:val="45"/>
              <w:spacing w:before="120" w:after="120"/>
              <w:rPr>
                <w:rFonts w:ascii="Times New Roman" w:hAnsi="Times New Roman"/>
                <w:sz w:val="20"/>
              </w:rPr>
            </w:pPr>
            <w:r>
              <w:rPr>
                <w:rFonts w:ascii="Times New Roman" w:hAnsi="Times New Roman"/>
                <w:sz w:val="20"/>
              </w:rPr>
              <w:t>&gt;=</w:t>
            </w:r>
            <w:r>
              <w:rPr>
                <w:rFonts w:ascii="Times New Roman" w:hAnsi="Times New Roman" w:eastAsia="MS Mincho"/>
                <w:sz w:val="20"/>
              </w:rPr>
              <w:t>3</w:t>
            </w:r>
            <w:r>
              <w:rPr>
                <w:rFonts w:ascii="Times New Roman" w:hAnsi="Times New Roman"/>
                <w:sz w:val="20"/>
              </w:rPr>
              <w:t>5m (except for Option 6 where it shall be 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rPr>
            </w:pPr>
            <w:r>
              <w:rPr>
                <w:rFonts w:ascii="Times New Roman" w:hAnsi="Times New Roman"/>
                <w:sz w:val="20"/>
              </w:rPr>
              <w:t>Minimum distance between UEs</w:t>
            </w:r>
          </w:p>
        </w:tc>
        <w:tc>
          <w:tcPr>
            <w:tcW w:w="7846" w:type="dxa"/>
            <w:gridSpan w:val="2"/>
            <w:tcBorders>
              <w:top w:val="single" w:color="auto" w:sz="4" w:space="0"/>
              <w:left w:val="single" w:color="auto" w:sz="4" w:space="0"/>
              <w:bottom w:val="single" w:color="auto" w:sz="4" w:space="0"/>
              <w:right w:val="single" w:color="auto" w:sz="4" w:space="0"/>
            </w:tcBorders>
            <w:vAlign w:val="center"/>
          </w:tcPr>
          <w:p>
            <w:pPr>
              <w:pStyle w:val="45"/>
              <w:spacing w:before="120" w:after="120"/>
              <w:rPr>
                <w:rFonts w:ascii="Times New Roman" w:hAnsi="Times New Roman"/>
                <w:sz w:val="20"/>
              </w:rPr>
            </w:pPr>
            <w:r>
              <w:rPr>
                <w:rFonts w:ascii="Times New Roman" w:hAnsi="Times New Roman"/>
                <w:sz w:val="20"/>
              </w:rPr>
              <w:t>&gt;= 3m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rPr>
            </w:pPr>
            <w:r>
              <w:rPr>
                <w:rFonts w:ascii="Times New Roman" w:hAnsi="Times New Roman"/>
                <w:sz w:val="20"/>
              </w:rPr>
              <w:t>Wraparound</w:t>
            </w:r>
          </w:p>
        </w:tc>
        <w:tc>
          <w:tcPr>
            <w:tcW w:w="7846" w:type="dxa"/>
            <w:gridSpan w:val="2"/>
            <w:tcBorders>
              <w:top w:val="single" w:color="auto" w:sz="4" w:space="0"/>
              <w:left w:val="single" w:color="auto" w:sz="4" w:space="0"/>
              <w:bottom w:val="single" w:color="auto" w:sz="4" w:space="0"/>
              <w:right w:val="single" w:color="auto" w:sz="4" w:space="0"/>
            </w:tcBorders>
            <w:vAlign w:val="center"/>
          </w:tcPr>
          <w:p>
            <w:pPr>
              <w:pStyle w:val="45"/>
              <w:spacing w:before="120" w:after="120"/>
              <w:rPr>
                <w:rFonts w:ascii="Times New Roman" w:hAnsi="Times New Roman"/>
                <w:sz w:val="20"/>
              </w:rPr>
            </w:pPr>
            <w:r>
              <w:rPr>
                <w:rFonts w:ascii="Times New Roman" w:hAnsi="Times New Roman"/>
                <w:sz w:val="20"/>
              </w:rPr>
              <w:t>Wraparound is used for all cases except partial-coverage, for which no wraparound is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6"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rPr>
            </w:pPr>
            <w:r>
              <w:rPr>
                <w:rFonts w:ascii="Times New Roman" w:hAnsi="Times New Roman"/>
                <w:sz w:val="20"/>
              </w:rPr>
              <w:t xml:space="preserve">Minimum association RSRP for D2D communication (X) </w:t>
            </w:r>
          </w:p>
        </w:tc>
        <w:tc>
          <w:tcPr>
            <w:tcW w:w="7846" w:type="dxa"/>
            <w:gridSpan w:val="2"/>
            <w:tcBorders>
              <w:top w:val="single" w:color="auto" w:sz="4" w:space="0"/>
              <w:left w:val="single" w:color="auto" w:sz="4" w:space="0"/>
              <w:bottom w:val="single" w:color="auto" w:sz="4" w:space="0"/>
              <w:right w:val="single" w:color="auto" w:sz="4" w:space="0"/>
            </w:tcBorders>
            <w:vAlign w:val="center"/>
          </w:tcPr>
          <w:p>
            <w:pPr>
              <w:pStyle w:val="45"/>
              <w:spacing w:before="120" w:after="120"/>
              <w:rPr>
                <w:rFonts w:ascii="Times New Roman" w:hAnsi="Times New Roman"/>
                <w:sz w:val="20"/>
              </w:rPr>
            </w:pPr>
            <w:r>
              <w:rPr>
                <w:rFonts w:ascii="Times New Roman" w:hAnsi="Times New Roman"/>
                <w:sz w:val="20"/>
              </w:rPr>
              <w:t>-107dBm, -112dBm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9"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rPr>
            </w:pPr>
            <w:r>
              <w:rPr>
                <w:rFonts w:ascii="Times New Roman" w:hAnsi="Times New Roman"/>
                <w:sz w:val="20"/>
              </w:rPr>
              <w:t>Receiver dynamic range (In case of no blocker signals and 10MHz bandwidth</w:t>
            </w:r>
            <w:r>
              <w:rPr>
                <w:rFonts w:ascii="Times New Roman" w:hAnsi="Times New Roman"/>
                <w:sz w:val="20"/>
                <w:vertAlign w:val="superscript"/>
              </w:rPr>
              <w:t>f</w:t>
            </w:r>
            <w:r>
              <w:rPr>
                <w:rFonts w:ascii="Times New Roman" w:hAnsi="Times New Roman"/>
                <w:sz w:val="20"/>
              </w:rPr>
              <w:t xml:space="preserve">) </w:t>
            </w:r>
          </w:p>
        </w:tc>
        <w:tc>
          <w:tcPr>
            <w:tcW w:w="7846" w:type="dxa"/>
            <w:gridSpan w:val="2"/>
            <w:tcBorders>
              <w:top w:val="single" w:color="auto" w:sz="4" w:space="0"/>
              <w:left w:val="single" w:color="auto" w:sz="4" w:space="0"/>
              <w:bottom w:val="single" w:color="auto" w:sz="4" w:space="0"/>
              <w:right w:val="single" w:color="auto" w:sz="4" w:space="0"/>
            </w:tcBorders>
            <w:vAlign w:val="center"/>
          </w:tcPr>
          <w:p>
            <w:pPr>
              <w:pStyle w:val="45"/>
              <w:spacing w:before="120" w:after="120"/>
              <w:rPr>
                <w:rFonts w:ascii="Times New Roman" w:hAnsi="Times New Roman"/>
                <w:sz w:val="20"/>
                <w:vertAlign w:val="superscript"/>
              </w:rPr>
            </w:pPr>
            <w:r>
              <w:rPr>
                <w:rFonts w:ascii="Times New Roman" w:hAnsi="Times New Roman"/>
                <w:sz w:val="20"/>
              </w:rPr>
              <w:t>Between 68.5dB and 72dB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rPr>
            </w:pPr>
            <w:r>
              <w:rPr>
                <w:rFonts w:ascii="Times New Roman" w:hAnsi="Times New Roman"/>
                <w:sz w:val="20"/>
              </w:rPr>
              <w:t>AGC settling time</w:t>
            </w:r>
            <w:r>
              <w:rPr>
                <w:rFonts w:ascii="Times New Roman" w:hAnsi="Times New Roman"/>
                <w:sz w:val="20"/>
                <w:vertAlign w:val="superscript"/>
              </w:rPr>
              <w:t>g</w:t>
            </w:r>
          </w:p>
        </w:tc>
        <w:tc>
          <w:tcPr>
            <w:tcW w:w="7846" w:type="dxa"/>
            <w:gridSpan w:val="2"/>
            <w:tcBorders>
              <w:top w:val="single" w:color="auto" w:sz="4" w:space="0"/>
              <w:left w:val="single" w:color="auto" w:sz="4" w:space="0"/>
              <w:bottom w:val="single" w:color="auto" w:sz="4" w:space="0"/>
              <w:right w:val="single" w:color="auto" w:sz="4" w:space="0"/>
            </w:tcBorders>
            <w:vAlign w:val="center"/>
          </w:tcPr>
          <w:p>
            <w:pPr>
              <w:pStyle w:val="45"/>
              <w:spacing w:before="120" w:after="120"/>
              <w:rPr>
                <w:rFonts w:ascii="Times New Roman" w:hAnsi="Times New Roman"/>
                <w:sz w:val="20"/>
                <w:vertAlign w:val="superscript"/>
              </w:rPr>
            </w:pPr>
            <w:r>
              <w:rPr>
                <w:rFonts w:ascii="Times New Roman" w:hAnsi="Times New Roman"/>
                <w:sz w:val="20"/>
              </w:rPr>
              <w:t>within one LTE symbol (up to 70us)</w:t>
            </w:r>
            <w:r>
              <w:rPr>
                <w:rFonts w:ascii="Times New Roman" w:hAnsi="Times New Roman"/>
                <w:sz w:val="20"/>
                <w:vertAlign w:val="superscript"/>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rPr>
            </w:pPr>
            <w:r>
              <w:rPr>
                <w:rFonts w:ascii="Times New Roman" w:hAnsi="Times New Roman"/>
                <w:sz w:val="20"/>
              </w:rPr>
              <w:t>Initial frequency offset error</w:t>
            </w:r>
          </w:p>
        </w:tc>
        <w:tc>
          <w:tcPr>
            <w:tcW w:w="7846" w:type="dxa"/>
            <w:gridSpan w:val="2"/>
            <w:tcBorders>
              <w:top w:val="single" w:color="auto" w:sz="4" w:space="0"/>
              <w:left w:val="single" w:color="auto" w:sz="4" w:space="0"/>
              <w:bottom w:val="single" w:color="auto" w:sz="4" w:space="0"/>
              <w:right w:val="single" w:color="auto" w:sz="4" w:space="0"/>
            </w:tcBorders>
            <w:vAlign w:val="center"/>
          </w:tcPr>
          <w:p>
            <w:pPr>
              <w:pStyle w:val="45"/>
              <w:spacing w:before="120" w:after="120"/>
              <w:rPr>
                <w:rFonts w:ascii="Times New Roman" w:hAnsi="Times New Roman"/>
                <w:sz w:val="20"/>
              </w:rPr>
            </w:pPr>
            <w:r>
              <w:rPr>
                <w:rFonts w:ascii="Times New Roman" w:hAnsi="Times New Roman"/>
                <w:sz w:val="20"/>
              </w:rPr>
              <w:t>within ±10ppm</w:t>
            </w:r>
          </w:p>
        </w:tc>
      </w:tr>
    </w:tbl>
    <w:p>
      <w:pPr>
        <w:pStyle w:val="48"/>
        <w:spacing w:before="120" w:after="120"/>
        <w:rPr>
          <w:sz w:val="20"/>
        </w:rPr>
      </w:pPr>
    </w:p>
    <w:p>
      <w:pPr>
        <w:pStyle w:val="48"/>
        <w:spacing w:before="120" w:after="120"/>
        <w:rPr>
          <w:sz w:val="20"/>
        </w:rPr>
      </w:pPr>
    </w:p>
    <w:p>
      <w:pPr>
        <w:pStyle w:val="48"/>
        <w:spacing w:before="120" w:after="120"/>
        <w:rPr>
          <w:sz w:val="20"/>
        </w:rPr>
      </w:pPr>
    </w:p>
    <w:p>
      <w:pPr>
        <w:pStyle w:val="48"/>
        <w:spacing w:before="120" w:after="120"/>
        <w:rPr>
          <w:sz w:val="20"/>
        </w:rPr>
      </w:pPr>
    </w:p>
    <w:p>
      <w:pPr>
        <w:pStyle w:val="48"/>
        <w:spacing w:before="120" w:after="120"/>
        <w:rPr>
          <w:sz w:val="20"/>
        </w:rPr>
      </w:pPr>
    </w:p>
    <w:p>
      <w:pPr>
        <w:pStyle w:val="48"/>
        <w:spacing w:before="120" w:after="120"/>
        <w:rPr>
          <w:sz w:val="20"/>
        </w:rPr>
      </w:pPr>
    </w:p>
    <w:p>
      <w:pPr>
        <w:pStyle w:val="48"/>
        <w:spacing w:before="120" w:after="120"/>
        <w:rPr>
          <w:sz w:val="20"/>
        </w:rPr>
      </w:pPr>
    </w:p>
    <w:p>
      <w:pPr>
        <w:pStyle w:val="48"/>
        <w:spacing w:before="120" w:after="120"/>
        <w:rPr>
          <w:sz w:val="20"/>
        </w:rPr>
      </w:pPr>
    </w:p>
    <w:p>
      <w:pPr>
        <w:pStyle w:val="48"/>
        <w:spacing w:before="120" w:after="120"/>
        <w:rPr>
          <w:sz w:val="20"/>
        </w:rPr>
      </w:pPr>
    </w:p>
    <w:p>
      <w:pPr>
        <w:pStyle w:val="48"/>
        <w:spacing w:before="120" w:after="120"/>
        <w:rPr>
          <w:sz w:val="20"/>
        </w:rPr>
      </w:pPr>
    </w:p>
    <w:p>
      <w:pPr>
        <w:pStyle w:val="48"/>
        <w:spacing w:before="120" w:after="120"/>
        <w:rPr>
          <w:sz w:val="20"/>
        </w:rPr>
      </w:pPr>
    </w:p>
    <w:p>
      <w:pPr>
        <w:pStyle w:val="48"/>
        <w:spacing w:before="120" w:after="120"/>
        <w:rPr>
          <w:sz w:val="20"/>
        </w:rPr>
      </w:pPr>
    </w:p>
    <w:p>
      <w:pPr>
        <w:pStyle w:val="48"/>
        <w:spacing w:before="120" w:after="120"/>
        <w:rPr>
          <w:sz w:val="20"/>
        </w:rPr>
      </w:pPr>
    </w:p>
    <w:p>
      <w:pPr>
        <w:pStyle w:val="48"/>
        <w:spacing w:before="120" w:after="120"/>
        <w:rPr>
          <w:sz w:val="20"/>
        </w:rPr>
      </w:pPr>
    </w:p>
    <w:p>
      <w:pPr>
        <w:pStyle w:val="48"/>
        <w:spacing w:before="120" w:after="120"/>
        <w:rPr>
          <w:sz w:val="20"/>
        </w:rPr>
      </w:pPr>
    </w:p>
    <w:p>
      <w:pPr>
        <w:pStyle w:val="48"/>
        <w:spacing w:before="120" w:after="120"/>
        <w:rPr>
          <w:sz w:val="20"/>
        </w:rPr>
      </w:pPr>
    </w:p>
    <w:p>
      <w:pPr>
        <w:pStyle w:val="48"/>
        <w:spacing w:before="120" w:after="120"/>
        <w:rPr>
          <w:sz w:val="20"/>
        </w:rPr>
      </w:pPr>
    </w:p>
    <w:p>
      <w:pPr>
        <w:pStyle w:val="48"/>
        <w:spacing w:before="120" w:after="120"/>
        <w:rPr>
          <w:sz w:val="20"/>
        </w:rPr>
      </w:pPr>
    </w:p>
    <w:p>
      <w:pPr>
        <w:pStyle w:val="48"/>
        <w:spacing w:before="120" w:after="120"/>
        <w:rPr>
          <w:sz w:val="20"/>
        </w:rPr>
      </w:pPr>
    </w:p>
    <w:p>
      <w:pPr>
        <w:pStyle w:val="48"/>
        <w:spacing w:before="120" w:after="120"/>
        <w:rPr>
          <w:sz w:val="20"/>
        </w:rPr>
      </w:pPr>
    </w:p>
    <w:p>
      <w:pPr>
        <w:pStyle w:val="48"/>
        <w:spacing w:before="120" w:after="120"/>
        <w:rPr>
          <w:sz w:val="20"/>
        </w:rPr>
      </w:pPr>
    </w:p>
    <w:p>
      <w:pPr>
        <w:pStyle w:val="48"/>
        <w:spacing w:before="120" w:after="120"/>
        <w:rPr>
          <w:sz w:val="20"/>
        </w:rPr>
      </w:pPr>
    </w:p>
    <w:p>
      <w:pPr>
        <w:pStyle w:val="27"/>
        <w:numPr>
          <w:ilvl w:val="0"/>
          <w:numId w:val="0"/>
        </w:numPr>
        <w:spacing w:before="120" w:after="120" w:line="240" w:lineRule="auto"/>
        <w:ind w:left="363"/>
        <w:rPr>
          <w:szCs w:val="20"/>
        </w:rPr>
      </w:pPr>
    </w:p>
    <w:p>
      <w:pPr>
        <w:pStyle w:val="43"/>
        <w:spacing w:before="120" w:after="120"/>
      </w:pPr>
      <w:r>
        <w:t xml:space="preserve">Table </w:t>
      </w:r>
      <w:r>
        <w:rPr>
          <w:rFonts w:hint="eastAsia"/>
        </w:rPr>
        <w:t>9</w:t>
      </w:r>
      <w:r>
        <w:t>-</w:t>
      </w:r>
      <w:r>
        <w:rPr>
          <w:rFonts w:hint="eastAsia"/>
        </w:rPr>
        <w:t>2</w:t>
      </w:r>
      <w:r>
        <w:t xml:space="preserve">: </w:t>
      </w:r>
      <w:r>
        <w:rPr>
          <w:rFonts w:hint="eastAsia"/>
        </w:rPr>
        <w:t>Recommended system level simulation assumptions for V2P/P2V evaluation</w:t>
      </w:r>
    </w:p>
    <w:tbl>
      <w:tblPr>
        <w:tblStyle w:val="17"/>
        <w:tblW w:w="9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5"/>
        <w:gridCol w:w="5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5" w:type="dxa"/>
            <w:shd w:val="clear" w:color="auto" w:fill="EEECE1" w:themeFill="background2"/>
            <w:vAlign w:val="center"/>
          </w:tcPr>
          <w:p>
            <w:pPr>
              <w:pStyle w:val="46"/>
              <w:spacing w:before="120" w:after="120"/>
              <w:jc w:val="center"/>
              <w:rPr>
                <w:rFonts w:ascii="Times New Roman" w:hAnsi="Times New Roman"/>
                <w:sz w:val="20"/>
              </w:rPr>
            </w:pPr>
            <w:r>
              <w:rPr>
                <w:rFonts w:ascii="Times New Roman" w:hAnsi="Times New Roman"/>
                <w:b/>
                <w:sz w:val="20"/>
                <w:lang w:eastAsia="ja-JP"/>
              </w:rPr>
              <w:t>Parameters</w:t>
            </w:r>
          </w:p>
        </w:tc>
        <w:tc>
          <w:tcPr>
            <w:tcW w:w="5957" w:type="dxa"/>
            <w:shd w:val="clear" w:color="auto" w:fill="EEECE1" w:themeFill="background2"/>
          </w:tcPr>
          <w:p>
            <w:pPr>
              <w:pStyle w:val="44"/>
              <w:spacing w:before="120" w:after="120"/>
              <w:rPr>
                <w:rFonts w:ascii="Times New Roman" w:hAnsi="Times New Roman"/>
                <w:sz w:val="20"/>
              </w:rPr>
            </w:pPr>
            <w:r>
              <w:rPr>
                <w:rFonts w:hint="eastAsia" w:ascii="Times New Roman" w:hAnsi="Times New Roman"/>
                <w:sz w:val="20"/>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5" w:type="dxa"/>
          </w:tcPr>
          <w:p>
            <w:pPr>
              <w:pStyle w:val="46"/>
              <w:spacing w:before="120" w:after="120"/>
              <w:rPr>
                <w:rFonts w:ascii="Times New Roman" w:hAnsi="Times New Roman"/>
                <w:b/>
                <w:bCs/>
                <w:sz w:val="20"/>
              </w:rPr>
            </w:pPr>
            <w:r>
              <w:rPr>
                <w:rFonts w:ascii="Times New Roman" w:hAnsi="Times New Roman"/>
                <w:b/>
                <w:bCs/>
                <w:sz w:val="20"/>
              </w:rPr>
              <w:t>SL frequency (GHz)</w:t>
            </w:r>
          </w:p>
        </w:tc>
        <w:tc>
          <w:tcPr>
            <w:tcW w:w="5957" w:type="dxa"/>
            <w:vAlign w:val="center"/>
          </w:tcPr>
          <w:p>
            <w:pPr>
              <w:pStyle w:val="46"/>
              <w:spacing w:before="120" w:after="120"/>
              <w:rPr>
                <w:rFonts w:ascii="Times New Roman" w:hAnsi="Times New Roman"/>
                <w:sz w:val="20"/>
              </w:rPr>
            </w:pPr>
            <w:r>
              <w:rPr>
                <w:rFonts w:ascii="Times New Roman" w:hAnsi="Times New Roman"/>
                <w:sz w:val="20"/>
              </w:rPr>
              <w:t>6</w:t>
            </w:r>
            <w:r>
              <w:rPr>
                <w:rFonts w:ascii="Times New Roman" w:hAnsi="Times New Roman"/>
                <w:sz w:val="20"/>
                <w:lang w:eastAsia="ko-KR"/>
              </w:rPr>
              <w:t>,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5" w:type="dxa"/>
          </w:tcPr>
          <w:p>
            <w:pPr>
              <w:pStyle w:val="46"/>
              <w:spacing w:before="120" w:after="120"/>
              <w:rPr>
                <w:rFonts w:ascii="Times New Roman" w:hAnsi="Times New Roman"/>
                <w:b/>
                <w:bCs/>
                <w:sz w:val="20"/>
              </w:rPr>
            </w:pPr>
            <w:r>
              <w:rPr>
                <w:rFonts w:ascii="Times New Roman" w:hAnsi="Times New Roman"/>
                <w:b/>
                <w:bCs/>
                <w:sz w:val="20"/>
              </w:rPr>
              <w:t>SL simulation bandwidth (MHz)</w:t>
            </w:r>
          </w:p>
        </w:tc>
        <w:tc>
          <w:tcPr>
            <w:tcW w:w="5957" w:type="dxa"/>
            <w:vAlign w:val="center"/>
          </w:tcPr>
          <w:p>
            <w:pPr>
              <w:pStyle w:val="46"/>
              <w:spacing w:before="120" w:after="120"/>
              <w:rPr>
                <w:rFonts w:ascii="Times New Roman" w:hAnsi="Times New Roman"/>
                <w:i/>
                <w:sz w:val="20"/>
                <w:lang w:eastAsia="ko-KR"/>
              </w:rPr>
            </w:pPr>
            <w:r>
              <w:rPr>
                <w:rFonts w:ascii="Times New Roman" w:hAnsi="Times New Roman"/>
                <w:sz w:val="20"/>
              </w:rPr>
              <w:t>20</w:t>
            </w:r>
            <w:r>
              <w:rPr>
                <w:rFonts w:ascii="Times New Roman" w:hAnsi="Times New Roman"/>
                <w:sz w:val="20"/>
                <w:lang w:eastAsia="ko-KR"/>
              </w:rPr>
              <w:t xml:space="preserve"> MHz for 6 GHz</w:t>
            </w:r>
          </w:p>
          <w:p>
            <w:pPr>
              <w:pStyle w:val="46"/>
              <w:spacing w:before="120" w:after="120"/>
              <w:rPr>
                <w:rFonts w:ascii="Times New Roman" w:hAnsi="Times New Roman"/>
                <w:sz w:val="20"/>
              </w:rPr>
            </w:pPr>
            <w:r>
              <w:rPr>
                <w:rFonts w:ascii="Times New Roman" w:hAnsi="Times New Roman"/>
                <w:sz w:val="20"/>
                <w:lang w:eastAsia="ko-KR"/>
              </w:rPr>
              <w:t>100 MHz for 30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5" w:type="dxa"/>
          </w:tcPr>
          <w:p>
            <w:pPr>
              <w:pStyle w:val="46"/>
              <w:spacing w:before="120" w:after="120"/>
              <w:rPr>
                <w:rFonts w:ascii="Times New Roman" w:hAnsi="Times New Roman"/>
                <w:b/>
                <w:bCs/>
                <w:sz w:val="20"/>
              </w:rPr>
            </w:pPr>
            <w:r>
              <w:rPr>
                <w:rFonts w:ascii="Times New Roman" w:hAnsi="Times New Roman"/>
                <w:b/>
                <w:bCs/>
                <w:sz w:val="20"/>
              </w:rPr>
              <w:t xml:space="preserve">Simulation </w:t>
            </w:r>
            <w:r>
              <w:rPr>
                <w:rFonts w:ascii="Times New Roman" w:hAnsi="Times New Roman"/>
                <w:b/>
                <w:bCs/>
                <w:sz w:val="20"/>
                <w:lang w:eastAsia="ko-KR"/>
              </w:rPr>
              <w:t>scenario</w:t>
            </w:r>
          </w:p>
        </w:tc>
        <w:tc>
          <w:tcPr>
            <w:tcW w:w="5957" w:type="dxa"/>
            <w:vAlign w:val="center"/>
          </w:tcPr>
          <w:p>
            <w:pPr>
              <w:pStyle w:val="46"/>
              <w:spacing w:before="120" w:after="120"/>
              <w:rPr>
                <w:rFonts w:ascii="Times New Roman" w:hAnsi="Times New Roman"/>
                <w:sz w:val="20"/>
              </w:rPr>
            </w:pPr>
            <w:r>
              <w:rPr>
                <w:rFonts w:ascii="Times New Roman" w:hAnsi="Times New Roman"/>
                <w:sz w:val="20"/>
              </w:rPr>
              <w:t>U</w:t>
            </w:r>
            <w:r>
              <w:rPr>
                <w:rFonts w:ascii="Times New Roman" w:hAnsi="Times New Roman"/>
                <w:sz w:val="20"/>
                <w:lang w:eastAsia="ko-KR"/>
              </w:rPr>
              <w:t>rban grid scenario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5" w:type="dxa"/>
          </w:tcPr>
          <w:p>
            <w:pPr>
              <w:pStyle w:val="46"/>
              <w:spacing w:before="120" w:after="120"/>
              <w:rPr>
                <w:rFonts w:ascii="Times New Roman" w:hAnsi="Times New Roman"/>
                <w:b/>
                <w:bCs/>
                <w:sz w:val="20"/>
              </w:rPr>
            </w:pPr>
            <w:r>
              <w:rPr>
                <w:rFonts w:hint="eastAsia" w:ascii="Times New Roman" w:hAnsi="Times New Roman"/>
                <w:b/>
                <w:bCs/>
                <w:sz w:val="20"/>
              </w:rPr>
              <w:t>V</w:t>
            </w:r>
            <w:r>
              <w:rPr>
                <w:rFonts w:ascii="Times New Roman" w:hAnsi="Times New Roman" w:eastAsia="Malgun Gothic"/>
                <w:b/>
                <w:bCs/>
                <w:sz w:val="20"/>
                <w:lang w:eastAsia="ko-KR"/>
              </w:rPr>
              <w:t>ehicle UE drop and mobility model</w:t>
            </w:r>
          </w:p>
        </w:tc>
        <w:tc>
          <w:tcPr>
            <w:tcW w:w="5957" w:type="dxa"/>
            <w:vAlign w:val="center"/>
          </w:tcPr>
          <w:p>
            <w:pPr>
              <w:pStyle w:val="46"/>
              <w:spacing w:before="120" w:after="120"/>
              <w:rPr>
                <w:rFonts w:ascii="Times New Roman" w:hAnsi="Times New Roman"/>
                <w:sz w:val="20"/>
              </w:rPr>
            </w:pPr>
            <w:r>
              <w:rPr>
                <w:rFonts w:ascii="Times New Roman" w:hAnsi="Times New Roman"/>
                <w:sz w:val="20"/>
              </w:rPr>
              <w:t>As defined in TS 37.885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5" w:type="dxa"/>
          </w:tcPr>
          <w:p>
            <w:pPr>
              <w:pStyle w:val="46"/>
              <w:spacing w:before="120" w:after="120"/>
              <w:rPr>
                <w:rFonts w:ascii="Times New Roman" w:hAnsi="Times New Roman" w:eastAsia="Malgun Gothic"/>
                <w:b/>
                <w:bCs/>
                <w:sz w:val="20"/>
                <w:lang w:eastAsia="ko-KR"/>
              </w:rPr>
            </w:pPr>
            <w:r>
              <w:rPr>
                <w:rFonts w:ascii="Times New Roman" w:hAnsi="Times New Roman"/>
                <w:b/>
                <w:bCs/>
                <w:sz w:val="20"/>
              </w:rPr>
              <w:t xml:space="preserve">pedestrian </w:t>
            </w:r>
            <w:r>
              <w:rPr>
                <w:rFonts w:ascii="Times New Roman" w:hAnsi="Times New Roman" w:eastAsia="Malgun Gothic"/>
                <w:b/>
                <w:bCs/>
                <w:sz w:val="20"/>
                <w:lang w:eastAsia="ko-KR"/>
              </w:rPr>
              <w:t>UE drop</w:t>
            </w:r>
          </w:p>
        </w:tc>
        <w:tc>
          <w:tcPr>
            <w:tcW w:w="5957" w:type="dxa"/>
            <w:vAlign w:val="center"/>
          </w:tcPr>
          <w:p>
            <w:pPr>
              <w:spacing w:before="120" w:after="120"/>
              <w:rPr>
                <w:sz w:val="20"/>
              </w:rPr>
            </w:pPr>
            <w:r>
              <w:rPr>
                <w:sz w:val="20"/>
                <w:lang w:eastAsia="ko-KR"/>
              </w:rPr>
              <w:t xml:space="preserve">Pedestrian UEs are dropped following the procedure in </w:t>
            </w:r>
            <w:r>
              <w:rPr>
                <w:sz w:val="20"/>
              </w:rPr>
              <w:t>36.885</w:t>
            </w:r>
            <w:r>
              <w:rPr>
                <w:sz w:val="20"/>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5" w:type="dxa"/>
          </w:tcPr>
          <w:p>
            <w:pPr>
              <w:pStyle w:val="46"/>
              <w:spacing w:before="120" w:after="120"/>
              <w:rPr>
                <w:rFonts w:ascii="Times New Roman" w:hAnsi="Times New Roman"/>
                <w:b/>
                <w:bCs/>
                <w:sz w:val="20"/>
              </w:rPr>
            </w:pPr>
            <w:r>
              <w:rPr>
                <w:rFonts w:ascii="Times New Roman" w:hAnsi="Times New Roman"/>
                <w:b/>
                <w:bCs/>
                <w:sz w:val="20"/>
              </w:rPr>
              <w:t>Traffic models for VUEs</w:t>
            </w:r>
          </w:p>
        </w:tc>
        <w:tc>
          <w:tcPr>
            <w:tcW w:w="5957" w:type="dxa"/>
            <w:vAlign w:val="center"/>
          </w:tcPr>
          <w:p>
            <w:pPr>
              <w:pStyle w:val="46"/>
              <w:spacing w:before="120" w:after="120"/>
              <w:rPr>
                <w:rFonts w:ascii="Times New Roman" w:hAnsi="Times New Roman"/>
                <w:i/>
                <w:sz w:val="20"/>
                <w:highlight w:val="yellow"/>
                <w:lang w:eastAsia="ko-KR"/>
              </w:rPr>
            </w:pPr>
            <w:r>
              <w:rPr>
                <w:rFonts w:ascii="Times New Roman" w:hAnsi="Times New Roman"/>
                <w:sz w:val="20"/>
              </w:rPr>
              <w:t xml:space="preserve">Periodic and </w:t>
            </w:r>
            <w:r>
              <w:rPr>
                <w:rFonts w:ascii="Times New Roman" w:hAnsi="Times New Roman"/>
                <w:sz w:val="20"/>
                <w:lang w:eastAsia="ko-KR"/>
              </w:rPr>
              <w:t>aperiodic</w:t>
            </w:r>
            <w:r>
              <w:rPr>
                <w:rFonts w:ascii="Times New Roman" w:hAnsi="Times New Roman"/>
                <w:sz w:val="20"/>
              </w:rPr>
              <w:t xml:space="preserve"> </w:t>
            </w:r>
            <w:r>
              <w:rPr>
                <w:rFonts w:ascii="Times New Roman" w:hAnsi="Times New Roman"/>
                <w:sz w:val="20"/>
                <w:lang w:eastAsia="ko-KR"/>
              </w:rPr>
              <w:t xml:space="preserve">traffic </w:t>
            </w:r>
            <w:r>
              <w:rPr>
                <w:rFonts w:ascii="Times New Roman" w:hAnsi="Times New Roman"/>
                <w:sz w:val="20"/>
              </w:rPr>
              <w:t>as defined in TS 38.885 and 37.885.</w:t>
            </w:r>
          </w:p>
          <w:p>
            <w:pPr>
              <w:pStyle w:val="46"/>
              <w:spacing w:before="120" w:after="120"/>
              <w:rPr>
                <w:rFonts w:ascii="Times New Roman" w:hAnsi="Times New Roman"/>
                <w:sz w:val="20"/>
              </w:rPr>
            </w:pPr>
            <w:r>
              <w:rPr>
                <w:rFonts w:ascii="Times New Roman" w:hAnsi="Times New Roman"/>
                <w:sz w:val="20"/>
                <w:lang w:eastAsia="ko-KR"/>
              </w:rPr>
              <w:t>Periodic and aperiodic traffic are simulated separately.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5" w:type="dxa"/>
          </w:tcPr>
          <w:p>
            <w:pPr>
              <w:pStyle w:val="46"/>
              <w:spacing w:before="120" w:after="120"/>
              <w:rPr>
                <w:rFonts w:ascii="Times New Roman" w:hAnsi="Times New Roman"/>
                <w:b/>
                <w:bCs/>
                <w:sz w:val="20"/>
              </w:rPr>
            </w:pPr>
            <w:r>
              <w:rPr>
                <w:rFonts w:ascii="Times New Roman" w:hAnsi="Times New Roman"/>
                <w:b/>
                <w:bCs/>
                <w:sz w:val="20"/>
              </w:rPr>
              <w:t>Traffic models for PUEs</w:t>
            </w:r>
          </w:p>
        </w:tc>
        <w:tc>
          <w:tcPr>
            <w:tcW w:w="5957" w:type="dxa"/>
            <w:vAlign w:val="center"/>
          </w:tcPr>
          <w:p>
            <w:pPr>
              <w:spacing w:before="120" w:after="120"/>
              <w:rPr>
                <w:sz w:val="20"/>
              </w:rPr>
            </w:pPr>
            <w:r>
              <w:rPr>
                <w:sz w:val="20"/>
              </w:rPr>
              <w:t xml:space="preserve">For P2V evaluation, the traffic model of pedestrian </w:t>
            </w:r>
            <w:r>
              <w:rPr>
                <w:sz w:val="20"/>
                <w:lang w:eastAsia="ko-KR"/>
              </w:rPr>
              <w:t>UEs</w:t>
            </w:r>
            <w:r>
              <w:rPr>
                <w:sz w:val="20"/>
              </w:rPr>
              <w:t xml:space="preserve"> in 36.885 should be adopted.</w:t>
            </w:r>
          </w:p>
          <w:p>
            <w:pPr>
              <w:pStyle w:val="45"/>
              <w:numPr>
                <w:ilvl w:val="0"/>
                <w:numId w:val="15"/>
              </w:numPr>
              <w:spacing w:before="120" w:after="120"/>
              <w:jc w:val="left"/>
              <w:rPr>
                <w:rFonts w:ascii="Times New Roman" w:hAnsi="Times New Roman"/>
                <w:sz w:val="20"/>
              </w:rPr>
            </w:pPr>
            <w:r>
              <w:rPr>
                <w:rFonts w:ascii="Times New Roman" w:hAnsi="Times New Roman"/>
                <w:sz w:val="20"/>
              </w:rPr>
              <w:t>The message size is fixed at 300 Bytes and transmission frequency is 1 Hz.</w:t>
            </w:r>
          </w:p>
          <w:p>
            <w:pPr>
              <w:pStyle w:val="45"/>
              <w:numPr>
                <w:ilvl w:val="0"/>
                <w:numId w:val="15"/>
              </w:numPr>
              <w:spacing w:before="120" w:after="120"/>
              <w:jc w:val="left"/>
              <w:rPr>
                <w:rFonts w:ascii="Times New Roman" w:hAnsi="Times New Roman"/>
                <w:sz w:val="20"/>
                <w:lang w:eastAsia="ko-KR"/>
              </w:rPr>
            </w:pPr>
            <w:r>
              <w:rPr>
                <w:rFonts w:ascii="Times New Roman" w:hAnsi="Times New Roman"/>
                <w:sz w:val="20"/>
              </w:rPr>
              <w:t xml:space="preserve">Baseline: ‘100ms’ latency requirement.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5" w:type="dxa"/>
          </w:tcPr>
          <w:p>
            <w:pPr>
              <w:pStyle w:val="46"/>
              <w:spacing w:before="120" w:after="120"/>
              <w:rPr>
                <w:rFonts w:ascii="Times New Roman" w:hAnsi="Times New Roman"/>
                <w:b/>
                <w:bCs/>
                <w:sz w:val="20"/>
              </w:rPr>
            </w:pPr>
            <w:r>
              <w:rPr>
                <w:rFonts w:ascii="Times New Roman" w:hAnsi="Times New Roman"/>
                <w:b/>
                <w:bCs/>
                <w:sz w:val="20"/>
              </w:rPr>
              <w:t>Antenna model for vehicle UE</w:t>
            </w:r>
          </w:p>
        </w:tc>
        <w:tc>
          <w:tcPr>
            <w:tcW w:w="5957" w:type="dxa"/>
            <w:vAlign w:val="center"/>
          </w:tcPr>
          <w:p>
            <w:pPr>
              <w:spacing w:before="120" w:after="120"/>
              <w:rPr>
                <w:sz w:val="20"/>
              </w:rPr>
            </w:pPr>
            <w:r>
              <w:rPr>
                <w:sz w:val="20"/>
              </w:rPr>
              <w:t xml:space="preserve">Option </w:t>
            </w:r>
            <w:r>
              <w:rPr>
                <w:sz w:val="20"/>
                <w:lang w:eastAsia="ko-KR"/>
              </w:rPr>
              <w:t>1</w:t>
            </w:r>
            <w:r>
              <w:rPr>
                <w:rFonts w:hint="eastAsia"/>
                <w:sz w:val="20"/>
              </w:rPr>
              <w:t xml:space="preserve"> a</w:t>
            </w:r>
            <w:r>
              <w:rPr>
                <w:sz w:val="20"/>
              </w:rPr>
              <w:t>s defined in TS 37.885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5" w:type="dxa"/>
          </w:tcPr>
          <w:p>
            <w:pPr>
              <w:pStyle w:val="46"/>
              <w:spacing w:before="120" w:after="120"/>
              <w:rPr>
                <w:rFonts w:ascii="Times New Roman" w:hAnsi="Times New Roman"/>
                <w:b/>
                <w:bCs/>
                <w:sz w:val="20"/>
                <w:vertAlign w:val="superscript"/>
              </w:rPr>
            </w:pPr>
            <w:r>
              <w:rPr>
                <w:rFonts w:ascii="Times New Roman" w:hAnsi="Times New Roman"/>
                <w:b/>
                <w:bCs/>
                <w:sz w:val="20"/>
              </w:rPr>
              <w:t>Number of Tx/Rx antenna elements for vehicle UE</w:t>
            </w:r>
          </w:p>
        </w:tc>
        <w:tc>
          <w:tcPr>
            <w:tcW w:w="5957" w:type="dxa"/>
            <w:vAlign w:val="center"/>
          </w:tcPr>
          <w:p>
            <w:pPr>
              <w:pStyle w:val="46"/>
              <w:spacing w:before="120" w:after="120"/>
              <w:rPr>
                <w:rFonts w:ascii="Times New Roman" w:hAnsi="Times New Roman"/>
                <w:i/>
                <w:sz w:val="20"/>
                <w:lang w:eastAsia="ko-KR"/>
              </w:rPr>
            </w:pPr>
            <w:r>
              <w:rPr>
                <w:rFonts w:ascii="Times New Roman" w:hAnsi="Times New Roman"/>
                <w:sz w:val="20"/>
              </w:rPr>
              <w:t>2Tx/4Rx</w:t>
            </w:r>
            <w:r>
              <w:rPr>
                <w:rFonts w:ascii="Times New Roman" w:hAnsi="Times New Roman"/>
                <w:sz w:val="20"/>
                <w:lang w:eastAsia="ko-KR"/>
              </w:rPr>
              <w:t xml:space="preserve"> for 6 GHz</w:t>
            </w:r>
          </w:p>
          <w:p>
            <w:pPr>
              <w:pStyle w:val="46"/>
              <w:spacing w:before="120" w:after="120"/>
              <w:rPr>
                <w:rFonts w:ascii="Times New Roman" w:hAnsi="Times New Roman"/>
                <w:sz w:val="20"/>
              </w:rPr>
            </w:pPr>
            <w:r>
              <w:rPr>
                <w:rFonts w:ascii="Times New Roman" w:hAnsi="Times New Roman"/>
                <w:sz w:val="20"/>
                <w:lang w:eastAsia="ko-KR"/>
              </w:rPr>
              <w:t>FFS for 30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5" w:type="dxa"/>
          </w:tcPr>
          <w:p>
            <w:pPr>
              <w:pStyle w:val="46"/>
              <w:spacing w:before="120" w:after="120"/>
              <w:rPr>
                <w:rFonts w:ascii="Times New Roman" w:hAnsi="Times New Roman"/>
                <w:b/>
                <w:bCs/>
                <w:sz w:val="20"/>
              </w:rPr>
            </w:pPr>
            <w:r>
              <w:rPr>
                <w:rFonts w:ascii="Times New Roman" w:hAnsi="Times New Roman"/>
                <w:b/>
                <w:bCs/>
                <w:sz w:val="20"/>
              </w:rPr>
              <w:t xml:space="preserve">Antenna model for </w:t>
            </w:r>
            <w:r>
              <w:rPr>
                <w:rFonts w:ascii="Times New Roman" w:hAnsi="Times New Roman"/>
                <w:b/>
                <w:bCs/>
                <w:sz w:val="20"/>
                <w:lang w:eastAsia="ko-KR"/>
              </w:rPr>
              <w:t xml:space="preserve">pedestrian </w:t>
            </w:r>
            <w:r>
              <w:rPr>
                <w:rFonts w:ascii="Times New Roman" w:hAnsi="Times New Roman"/>
                <w:b/>
                <w:bCs/>
                <w:sz w:val="20"/>
              </w:rPr>
              <w:t>UE</w:t>
            </w:r>
          </w:p>
        </w:tc>
        <w:tc>
          <w:tcPr>
            <w:tcW w:w="5957" w:type="dxa"/>
            <w:vAlign w:val="center"/>
          </w:tcPr>
          <w:p>
            <w:pPr>
              <w:spacing w:before="120" w:after="120"/>
              <w:rPr>
                <w:sz w:val="20"/>
              </w:rPr>
            </w:pPr>
            <w:r>
              <w:rPr>
                <w:rFonts w:hint="eastAsia"/>
                <w:sz w:val="20"/>
              </w:rPr>
              <w:t>A</w:t>
            </w:r>
            <w:r>
              <w:rPr>
                <w:sz w:val="20"/>
              </w:rPr>
              <w:t>s defined in TS 37.885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5" w:type="dxa"/>
          </w:tcPr>
          <w:p>
            <w:pPr>
              <w:pStyle w:val="46"/>
              <w:spacing w:before="120" w:after="120"/>
              <w:rPr>
                <w:rFonts w:ascii="Times New Roman" w:hAnsi="Times New Roman"/>
                <w:b/>
                <w:bCs/>
                <w:sz w:val="20"/>
              </w:rPr>
            </w:pPr>
            <w:r>
              <w:rPr>
                <w:rFonts w:ascii="Times New Roman" w:hAnsi="Times New Roman"/>
                <w:b/>
                <w:bCs/>
                <w:sz w:val="20"/>
              </w:rPr>
              <w:t xml:space="preserve">Number of Tx/Rx antenna elements for </w:t>
            </w:r>
            <w:r>
              <w:rPr>
                <w:rFonts w:ascii="Times New Roman" w:hAnsi="Times New Roman"/>
                <w:b/>
                <w:bCs/>
                <w:sz w:val="20"/>
                <w:lang w:eastAsia="ko-KR"/>
              </w:rPr>
              <w:t xml:space="preserve">pedestrian </w:t>
            </w:r>
            <w:r>
              <w:rPr>
                <w:rFonts w:ascii="Times New Roman" w:hAnsi="Times New Roman"/>
                <w:b/>
                <w:bCs/>
                <w:sz w:val="20"/>
              </w:rPr>
              <w:t>UE</w:t>
            </w:r>
          </w:p>
        </w:tc>
        <w:tc>
          <w:tcPr>
            <w:tcW w:w="5957" w:type="dxa"/>
            <w:vAlign w:val="center"/>
          </w:tcPr>
          <w:p>
            <w:pPr>
              <w:pStyle w:val="46"/>
              <w:spacing w:before="120" w:after="120"/>
              <w:rPr>
                <w:rFonts w:ascii="Times New Roman" w:hAnsi="Times New Roman"/>
                <w:i/>
                <w:sz w:val="20"/>
                <w:lang w:eastAsia="ko-KR"/>
              </w:rPr>
            </w:pPr>
            <w:r>
              <w:rPr>
                <w:rFonts w:ascii="Times New Roman" w:hAnsi="Times New Roman"/>
                <w:sz w:val="20"/>
              </w:rPr>
              <w:t>2Tx/4Rx</w:t>
            </w:r>
            <w:r>
              <w:rPr>
                <w:rFonts w:ascii="Times New Roman" w:hAnsi="Times New Roman"/>
                <w:sz w:val="20"/>
                <w:lang w:eastAsia="ko-KR"/>
              </w:rPr>
              <w:t xml:space="preserve"> for 6 GHz</w:t>
            </w:r>
          </w:p>
          <w:p>
            <w:pPr>
              <w:pStyle w:val="46"/>
              <w:spacing w:before="120" w:after="120"/>
              <w:rPr>
                <w:rFonts w:ascii="Times New Roman" w:hAnsi="Times New Roman"/>
                <w:sz w:val="20"/>
              </w:rPr>
            </w:pPr>
            <w:r>
              <w:rPr>
                <w:rFonts w:ascii="Times New Roman" w:hAnsi="Times New Roman"/>
                <w:sz w:val="20"/>
                <w:lang w:eastAsia="ko-KR"/>
              </w:rPr>
              <w:t>FFS for 30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5" w:type="dxa"/>
          </w:tcPr>
          <w:p>
            <w:pPr>
              <w:pStyle w:val="46"/>
              <w:spacing w:before="120" w:after="120"/>
              <w:rPr>
                <w:rFonts w:ascii="Times New Roman" w:hAnsi="Times New Roman"/>
                <w:b/>
                <w:bCs/>
                <w:sz w:val="20"/>
              </w:rPr>
            </w:pPr>
            <w:r>
              <w:rPr>
                <w:rFonts w:ascii="Times New Roman" w:hAnsi="Times New Roman"/>
                <w:b/>
                <w:bCs/>
                <w:sz w:val="20"/>
              </w:rPr>
              <w:t>Channel model for V2P/P2V</w:t>
            </w:r>
          </w:p>
        </w:tc>
        <w:tc>
          <w:tcPr>
            <w:tcW w:w="5957" w:type="dxa"/>
            <w:vAlign w:val="center"/>
          </w:tcPr>
          <w:p>
            <w:pPr>
              <w:pStyle w:val="46"/>
              <w:spacing w:before="120" w:after="120"/>
              <w:rPr>
                <w:rFonts w:ascii="Times New Roman" w:hAnsi="Times New Roman"/>
                <w:sz w:val="20"/>
              </w:rPr>
            </w:pPr>
            <w:r>
              <w:rPr>
                <w:rFonts w:ascii="Times New Roman" w:hAnsi="Times New Roman"/>
                <w:sz w:val="20"/>
              </w:rPr>
              <w:t>As defined in 37.885, with the following additions</w:t>
            </w:r>
          </w:p>
          <w:p>
            <w:pPr>
              <w:pStyle w:val="45"/>
              <w:numPr>
                <w:ilvl w:val="0"/>
                <w:numId w:val="15"/>
              </w:numPr>
              <w:spacing w:before="120" w:after="120"/>
              <w:jc w:val="left"/>
              <w:rPr>
                <w:rFonts w:ascii="Times New Roman" w:hAnsi="Times New Roman"/>
                <w:sz w:val="20"/>
              </w:rPr>
            </w:pPr>
            <w:r>
              <w:rPr>
                <w:rFonts w:ascii="Times New Roman" w:hAnsi="Times New Roman"/>
                <w:sz w:val="20"/>
              </w:rPr>
              <w:t xml:space="preserve">Fading parameters for V2V in </w:t>
            </w:r>
            <w:r>
              <w:rPr>
                <w:rFonts w:ascii="Times New Roman" w:hAnsi="Times New Roman"/>
                <w:sz w:val="20"/>
                <w:lang w:eastAsia="ko-KR"/>
              </w:rPr>
              <w:t>Table 6.2.3-1</w:t>
            </w:r>
            <w:r>
              <w:rPr>
                <w:rFonts w:ascii="Times New Roman" w:hAnsi="Times New Roman"/>
                <w:sz w:val="20"/>
              </w:rPr>
              <w:t xml:space="preserve"> in TR 37.885 are reused for V2P/P2V evaluation.</w:t>
            </w:r>
          </w:p>
          <w:p>
            <w:pPr>
              <w:pStyle w:val="45"/>
              <w:numPr>
                <w:ilvl w:val="0"/>
                <w:numId w:val="15"/>
              </w:numPr>
              <w:spacing w:before="120" w:after="120"/>
              <w:jc w:val="left"/>
              <w:rPr>
                <w:rFonts w:ascii="Times New Roman" w:hAnsi="Times New Roman"/>
                <w:sz w:val="20"/>
                <w:lang w:eastAsia="ko-KR"/>
              </w:rPr>
            </w:pPr>
            <w:r>
              <w:rPr>
                <w:rFonts w:ascii="Times New Roman" w:hAnsi="Times New Roman"/>
                <w:sz w:val="20"/>
                <w:lang w:eastAsia="ko-KR"/>
              </w:rPr>
              <w:t>Pedestrian UE speed is 3 km/h</w:t>
            </w:r>
            <w:r>
              <w:rPr>
                <w:rFonts w:ascii="Times New Roman" w:hAnsi="Times New Roman"/>
                <w:sz w:val="20"/>
              </w:rPr>
              <w:t>.</w:t>
            </w:r>
            <w:r>
              <w:rPr>
                <w:rFonts w:ascii="Times New Roman" w:hAnsi="Times New Roman"/>
                <w:sz w:val="20"/>
                <w:lang w:eastAsia="ko-KR"/>
              </w:rPr>
              <w:t xml:space="preserve"> </w:t>
            </w:r>
          </w:p>
          <w:p>
            <w:pPr>
              <w:pStyle w:val="45"/>
              <w:numPr>
                <w:ilvl w:val="0"/>
                <w:numId w:val="15"/>
              </w:numPr>
              <w:spacing w:before="120" w:after="120"/>
              <w:jc w:val="left"/>
              <w:rPr>
                <w:rFonts w:ascii="Times New Roman" w:hAnsi="Times New Roman"/>
                <w:sz w:val="20"/>
              </w:rPr>
            </w:pPr>
            <w:r>
              <w:rPr>
                <w:rFonts w:ascii="Times New Roman" w:hAnsi="Times New Roman"/>
                <w:sz w:val="20"/>
                <w:lang w:eastAsia="ko-KR"/>
              </w:rPr>
              <w:t>Location update is not modeled for pedestrian UE</w:t>
            </w:r>
            <w:r>
              <w:rPr>
                <w:rFonts w:ascii="Times New Roman" w:hAnsi="Times New Roman"/>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5" w:type="dxa"/>
          </w:tcPr>
          <w:p>
            <w:pPr>
              <w:pStyle w:val="46"/>
              <w:spacing w:before="120" w:after="120"/>
              <w:rPr>
                <w:rFonts w:ascii="Times New Roman" w:hAnsi="Times New Roman"/>
                <w:b/>
                <w:bCs/>
                <w:sz w:val="20"/>
              </w:rPr>
            </w:pPr>
            <w:r>
              <w:rPr>
                <w:rFonts w:ascii="Times New Roman" w:hAnsi="Times New Roman"/>
                <w:b/>
                <w:bCs/>
                <w:sz w:val="20"/>
                <w:lang w:eastAsia="ko-KR"/>
              </w:rPr>
              <w:t xml:space="preserve">UE Tx power </w:t>
            </w:r>
          </w:p>
        </w:tc>
        <w:tc>
          <w:tcPr>
            <w:tcW w:w="5957" w:type="dxa"/>
            <w:vAlign w:val="center"/>
          </w:tcPr>
          <w:p>
            <w:pPr>
              <w:pStyle w:val="46"/>
              <w:spacing w:before="120" w:after="120"/>
              <w:rPr>
                <w:rFonts w:ascii="Times New Roman" w:hAnsi="Times New Roman"/>
                <w:sz w:val="20"/>
              </w:rPr>
            </w:pPr>
            <w:r>
              <w:rPr>
                <w:rFonts w:ascii="Times New Roman" w:hAnsi="Times New Roman"/>
                <w:sz w:val="20"/>
                <w:lang w:eastAsia="ko-KR"/>
              </w:rPr>
              <w:t>Vehicle/pedestrian UE: 23dBm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5" w:type="dxa"/>
          </w:tcPr>
          <w:p>
            <w:pPr>
              <w:pStyle w:val="46"/>
              <w:spacing w:before="120" w:after="120"/>
              <w:rPr>
                <w:rFonts w:ascii="Times New Roman" w:hAnsi="Times New Roman"/>
                <w:b/>
                <w:bCs/>
                <w:sz w:val="20"/>
                <w:lang w:eastAsia="ko-KR"/>
              </w:rPr>
            </w:pPr>
            <w:r>
              <w:rPr>
                <w:rFonts w:ascii="Times New Roman" w:hAnsi="Times New Roman"/>
                <w:b/>
                <w:bCs/>
                <w:sz w:val="20"/>
                <w:lang w:eastAsia="ko-KR"/>
              </w:rPr>
              <w:t>UE receiver noise figure</w:t>
            </w:r>
          </w:p>
        </w:tc>
        <w:tc>
          <w:tcPr>
            <w:tcW w:w="5957" w:type="dxa"/>
            <w:vAlign w:val="center"/>
          </w:tcPr>
          <w:p>
            <w:pPr>
              <w:pStyle w:val="46"/>
              <w:spacing w:before="120" w:after="120"/>
              <w:rPr>
                <w:rFonts w:ascii="Times New Roman" w:hAnsi="Times New Roman"/>
                <w:sz w:val="20"/>
              </w:rPr>
            </w:pPr>
            <w:r>
              <w:rPr>
                <w:rFonts w:ascii="Times New Roman" w:hAnsi="Times New Roman"/>
                <w:sz w:val="20"/>
              </w:rPr>
              <w:t>B</w:t>
            </w:r>
            <w:r>
              <w:rPr>
                <w:rFonts w:ascii="Times New Roman" w:hAnsi="Times New Roman"/>
                <w:sz w:val="20"/>
                <w:lang w:eastAsia="ko-KR"/>
              </w:rPr>
              <w:t>elow 6 GHz</w:t>
            </w:r>
            <w:r>
              <w:rPr>
                <w:rFonts w:ascii="Times New Roman" w:hAnsi="Times New Roman"/>
                <w:sz w:val="20"/>
              </w:rPr>
              <w:t xml:space="preserve">: </w:t>
            </w:r>
            <w:r>
              <w:rPr>
                <w:rFonts w:ascii="Times New Roman" w:hAnsi="Times New Roman"/>
                <w:sz w:val="20"/>
                <w:lang w:eastAsia="ko-KR"/>
              </w:rPr>
              <w:t>9 dB</w:t>
            </w:r>
            <w:r>
              <w:rPr>
                <w:rFonts w:hint="eastAsia" w:ascii="Times New Roman" w:hAnsi="Times New Roman"/>
                <w:sz w:val="20"/>
              </w:rPr>
              <w:t xml:space="preserve"> </w:t>
            </w:r>
          </w:p>
          <w:p>
            <w:pPr>
              <w:pStyle w:val="46"/>
              <w:spacing w:before="120" w:after="120"/>
              <w:rPr>
                <w:rFonts w:ascii="Times New Roman" w:hAnsi="Times New Roman"/>
                <w:sz w:val="20"/>
              </w:rPr>
            </w:pPr>
            <w:r>
              <w:rPr>
                <w:rFonts w:ascii="Times New Roman" w:hAnsi="Times New Roman"/>
                <w:sz w:val="20"/>
              </w:rPr>
              <w:t>A</w:t>
            </w:r>
            <w:r>
              <w:rPr>
                <w:rFonts w:ascii="Times New Roman" w:hAnsi="Times New Roman"/>
                <w:sz w:val="20"/>
                <w:lang w:eastAsia="ko-KR"/>
              </w:rPr>
              <w:t>bove 6 GHz</w:t>
            </w:r>
            <w:r>
              <w:rPr>
                <w:rFonts w:ascii="Times New Roman" w:hAnsi="Times New Roman"/>
                <w:sz w:val="20"/>
              </w:rPr>
              <w:t xml:space="preserve">: </w:t>
            </w:r>
            <w:r>
              <w:rPr>
                <w:rFonts w:ascii="Times New Roman" w:hAnsi="Times New Roman"/>
                <w:sz w:val="20"/>
                <w:lang w:eastAsia="ko-KR"/>
              </w:rPr>
              <w:t>13 dB (baseline), 10 dB (optional)</w:t>
            </w:r>
          </w:p>
        </w:tc>
      </w:tr>
    </w:tbl>
    <w:p>
      <w:pPr>
        <w:pStyle w:val="27"/>
        <w:numPr>
          <w:ilvl w:val="0"/>
          <w:numId w:val="0"/>
        </w:numPr>
        <w:spacing w:before="120" w:after="120" w:line="240" w:lineRule="auto"/>
        <w:ind w:left="363"/>
        <w:rPr>
          <w:szCs w:val="20"/>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8CF3C52" w:usb2="00000016" w:usb3="00000000" w:csb0="0004001F" w:csb1="00000000"/>
  </w:font>
  <w:font w:name="Calibri">
    <w:panose1 w:val="020F0502020204030204"/>
    <w:charset w:val="00"/>
    <w:family w:val="swiss"/>
    <w:pitch w:val="default"/>
    <w:sig w:usb0="E00002FF" w:usb1="4000ACFF" w:usb2="00000001" w:usb3="00000000" w:csb0="2000019F" w:csb1="00000000"/>
  </w:font>
  <w:font w:name="Gulim">
    <w:panose1 w:val="020B0600000101010101"/>
    <w:charset w:val="81"/>
    <w:family w:val="swiss"/>
    <w:pitch w:val="default"/>
    <w:sig w:usb0="B00002AF" w:usb1="69D77CFB" w:usb2="00000030" w:usb3="00000000" w:csb0="4008009F" w:csb1="DFD70000"/>
  </w:font>
  <w:font w:name="DengXian">
    <w:altName w:val="宋体"/>
    <w:panose1 w:val="00000000000000000000"/>
    <w:charset w:val="86"/>
    <w:family w:val="auto"/>
    <w:pitch w:val="default"/>
    <w:sig w:usb0="00000000" w:usb1="00000000" w:usb2="00000016" w:usb3="00000000" w:csb0="0004000F" w:csb1="00000000"/>
  </w:font>
  <w:font w:name="Times">
    <w:altName w:val="Times New Roman"/>
    <w:panose1 w:val="02020603050405020304"/>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25316"/>
    </w:sdtPr>
    <w:sdtContent>
      <w:p>
        <w:pPr>
          <w:pStyle w:val="11"/>
          <w:spacing w:before="120" w:after="120"/>
          <w:jc w:val="center"/>
        </w:pPr>
        <w:r>
          <w:fldChar w:fldCharType="begin"/>
        </w:r>
        <w:r>
          <w:instrText xml:space="preserve"> PAGE   \* MERGEFORMAT </w:instrText>
        </w:r>
        <w:r>
          <w:fldChar w:fldCharType="separate"/>
        </w:r>
        <w:r>
          <w:t>14</w:t>
        </w:r>
        <w:r>
          <w:fldChar w:fldCharType="end"/>
        </w:r>
      </w:p>
    </w:sdtContent>
  </w:sdt>
  <w:p>
    <w:pPr>
      <w:pStyle w:val="11"/>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E44A3D1"/>
    <w:multiLevelType w:val="singleLevel"/>
    <w:tmpl w:val="CE44A3D1"/>
    <w:lvl w:ilvl="0" w:tentative="0">
      <w:start w:val="1"/>
      <w:numFmt w:val="bullet"/>
      <w:pStyle w:val="25"/>
      <w:lvlText w:val="•"/>
      <w:lvlJc w:val="left"/>
      <w:pPr>
        <w:tabs>
          <w:tab w:val="left" w:pos="807"/>
        </w:tabs>
        <w:ind w:left="420" w:firstLine="0"/>
      </w:pPr>
      <w:rPr>
        <w:rFonts w:hint="default" w:ascii="Arial" w:hAnsi="Arial" w:cs="Arial"/>
      </w:rPr>
    </w:lvl>
  </w:abstractNum>
  <w:abstractNum w:abstractNumId="1">
    <w:nsid w:val="076610B5"/>
    <w:multiLevelType w:val="multilevel"/>
    <w:tmpl w:val="076610B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BDD5F2B"/>
    <w:multiLevelType w:val="multilevel"/>
    <w:tmpl w:val="0BDD5F2B"/>
    <w:lvl w:ilvl="0" w:tentative="0">
      <w:start w:val="1"/>
      <w:numFmt w:val="decimal"/>
      <w:pStyle w:val="2"/>
      <w:suff w:val="nothing"/>
      <w:lvlText w:val="%1  "/>
      <w:lvlJc w:val="left"/>
      <w:pPr>
        <w:ind w:left="4962"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2AD2AC0"/>
    <w:multiLevelType w:val="multilevel"/>
    <w:tmpl w:val="12AD2AC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D28239B"/>
    <w:multiLevelType w:val="multilevel"/>
    <w:tmpl w:val="2D28239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1343BB7"/>
    <w:multiLevelType w:val="singleLevel"/>
    <w:tmpl w:val="31343BB7"/>
    <w:lvl w:ilvl="0" w:tentative="0">
      <w:start w:val="1"/>
      <w:numFmt w:val="decimal"/>
      <w:pStyle w:val="24"/>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2BF03C6"/>
    <w:multiLevelType w:val="multilevel"/>
    <w:tmpl w:val="32BF03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72AA324"/>
    <w:multiLevelType w:val="multilevel"/>
    <w:tmpl w:val="372AA324"/>
    <w:lvl w:ilvl="0" w:tentative="0">
      <w:start w:val="1"/>
      <w:numFmt w:val="decimal"/>
      <w:pStyle w:val="23"/>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3A877D64"/>
    <w:multiLevelType w:val="singleLevel"/>
    <w:tmpl w:val="3A877D64"/>
    <w:lvl w:ilvl="0" w:tentative="0">
      <w:start w:val="1"/>
      <w:numFmt w:val="decimal"/>
      <w:pStyle w:val="27"/>
      <w:lvlText w:val="[%1]"/>
      <w:lvlJc w:val="left"/>
      <w:pPr>
        <w:tabs>
          <w:tab w:val="left" w:pos="360"/>
        </w:tabs>
        <w:ind w:left="360" w:hanging="360"/>
      </w:pPr>
    </w:lvl>
  </w:abstractNum>
  <w:abstractNum w:abstractNumId="9">
    <w:nsid w:val="3B3A63F5"/>
    <w:multiLevelType w:val="multilevel"/>
    <w:tmpl w:val="3B3A63F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D6B7E28"/>
    <w:multiLevelType w:val="multilevel"/>
    <w:tmpl w:val="3D6B7E2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3E6970CA"/>
    <w:multiLevelType w:val="multilevel"/>
    <w:tmpl w:val="3E6970C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57EA75E0"/>
    <w:multiLevelType w:val="multilevel"/>
    <w:tmpl w:val="57EA75E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BF96C0F"/>
    <w:multiLevelType w:val="multilevel"/>
    <w:tmpl w:val="6BF96C0F"/>
    <w:lvl w:ilvl="0" w:tentative="0">
      <w:start w:val="0"/>
      <w:numFmt w:val="bullet"/>
      <w:lvlText w:val="-"/>
      <w:lvlJc w:val="left"/>
      <w:pPr>
        <w:tabs>
          <w:tab w:val="left" w:pos="928"/>
        </w:tabs>
        <w:ind w:left="928" w:hanging="360"/>
      </w:pPr>
      <w:rPr>
        <w:rFonts w:hint="default" w:ascii="Times" w:hAnsi="Times" w:eastAsia="Batang" w:cs="Times"/>
      </w:rPr>
    </w:lvl>
    <w:lvl w:ilvl="1" w:tentative="0">
      <w:start w:val="1"/>
      <w:numFmt w:val="bullet"/>
      <w:lvlText w:val="o"/>
      <w:lvlJc w:val="left"/>
      <w:pPr>
        <w:tabs>
          <w:tab w:val="left" w:pos="1648"/>
        </w:tabs>
        <w:ind w:left="1648" w:hanging="360"/>
      </w:pPr>
      <w:rPr>
        <w:rFonts w:hint="default" w:ascii="Courier New" w:hAnsi="Courier New" w:cs="Courier New"/>
      </w:rPr>
    </w:lvl>
    <w:lvl w:ilvl="2" w:tentative="0">
      <w:start w:val="1"/>
      <w:numFmt w:val="bullet"/>
      <w:lvlText w:val=""/>
      <w:lvlJc w:val="left"/>
      <w:pPr>
        <w:tabs>
          <w:tab w:val="left" w:pos="2368"/>
        </w:tabs>
        <w:ind w:left="2368" w:hanging="360"/>
      </w:pPr>
      <w:rPr>
        <w:rFonts w:hint="default" w:ascii="Wingdings" w:hAnsi="Wingdings"/>
      </w:rPr>
    </w:lvl>
    <w:lvl w:ilvl="3" w:tentative="0">
      <w:start w:val="1"/>
      <w:numFmt w:val="bullet"/>
      <w:lvlText w:val=""/>
      <w:lvlJc w:val="left"/>
      <w:pPr>
        <w:tabs>
          <w:tab w:val="left" w:pos="3088"/>
        </w:tabs>
        <w:ind w:left="3088" w:hanging="360"/>
      </w:pPr>
      <w:rPr>
        <w:rFonts w:hint="default" w:ascii="Symbol" w:hAnsi="Symbol"/>
      </w:rPr>
    </w:lvl>
    <w:lvl w:ilvl="4" w:tentative="0">
      <w:start w:val="1"/>
      <w:numFmt w:val="bullet"/>
      <w:lvlText w:val="o"/>
      <w:lvlJc w:val="left"/>
      <w:pPr>
        <w:tabs>
          <w:tab w:val="left" w:pos="3808"/>
        </w:tabs>
        <w:ind w:left="3808" w:hanging="360"/>
      </w:pPr>
      <w:rPr>
        <w:rFonts w:hint="default" w:ascii="Courier New" w:hAnsi="Courier New" w:cs="Courier New"/>
      </w:rPr>
    </w:lvl>
    <w:lvl w:ilvl="5" w:tentative="0">
      <w:start w:val="1"/>
      <w:numFmt w:val="bullet"/>
      <w:lvlText w:val=""/>
      <w:lvlJc w:val="left"/>
      <w:pPr>
        <w:tabs>
          <w:tab w:val="left" w:pos="4528"/>
        </w:tabs>
        <w:ind w:left="4528" w:hanging="360"/>
      </w:pPr>
      <w:rPr>
        <w:rFonts w:hint="default" w:ascii="Wingdings" w:hAnsi="Wingdings"/>
      </w:rPr>
    </w:lvl>
    <w:lvl w:ilvl="6" w:tentative="0">
      <w:start w:val="1"/>
      <w:numFmt w:val="bullet"/>
      <w:lvlText w:val=""/>
      <w:lvlJc w:val="left"/>
      <w:pPr>
        <w:tabs>
          <w:tab w:val="left" w:pos="5248"/>
        </w:tabs>
        <w:ind w:left="5248" w:hanging="360"/>
      </w:pPr>
      <w:rPr>
        <w:rFonts w:hint="default" w:ascii="Symbol" w:hAnsi="Symbol"/>
      </w:rPr>
    </w:lvl>
    <w:lvl w:ilvl="7" w:tentative="0">
      <w:start w:val="1"/>
      <w:numFmt w:val="bullet"/>
      <w:lvlText w:val="o"/>
      <w:lvlJc w:val="left"/>
      <w:pPr>
        <w:tabs>
          <w:tab w:val="left" w:pos="5968"/>
        </w:tabs>
        <w:ind w:left="5968" w:hanging="360"/>
      </w:pPr>
      <w:rPr>
        <w:rFonts w:hint="default" w:ascii="Courier New" w:hAnsi="Courier New" w:cs="Courier New"/>
      </w:rPr>
    </w:lvl>
    <w:lvl w:ilvl="8" w:tentative="0">
      <w:start w:val="1"/>
      <w:numFmt w:val="bullet"/>
      <w:lvlText w:val=""/>
      <w:lvlJc w:val="left"/>
      <w:pPr>
        <w:tabs>
          <w:tab w:val="left" w:pos="6688"/>
        </w:tabs>
        <w:ind w:left="6688" w:hanging="360"/>
      </w:pPr>
      <w:rPr>
        <w:rFonts w:hint="default" w:ascii="Wingdings" w:hAnsi="Wingdings"/>
      </w:rPr>
    </w:lvl>
  </w:abstractNum>
  <w:abstractNum w:abstractNumId="14">
    <w:nsid w:val="73ED264E"/>
    <w:multiLevelType w:val="multilevel"/>
    <w:tmpl w:val="73ED264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7"/>
  </w:num>
  <w:num w:numId="3">
    <w:abstractNumId w:val="5"/>
  </w:num>
  <w:num w:numId="4">
    <w:abstractNumId w:val="0"/>
  </w:num>
  <w:num w:numId="5">
    <w:abstractNumId w:val="8"/>
  </w:num>
  <w:num w:numId="6">
    <w:abstractNumId w:val="9"/>
  </w:num>
  <w:num w:numId="7">
    <w:abstractNumId w:val="1"/>
  </w:num>
  <w:num w:numId="8">
    <w:abstractNumId w:val="4"/>
  </w:num>
  <w:num w:numId="9">
    <w:abstractNumId w:val="6"/>
  </w:num>
  <w:num w:numId="10">
    <w:abstractNumId w:val="11"/>
  </w:num>
  <w:num w:numId="11">
    <w:abstractNumId w:val="3"/>
  </w:num>
  <w:num w:numId="12">
    <w:abstractNumId w:val="13"/>
  </w:num>
  <w:num w:numId="13">
    <w:abstractNumId w:val="12"/>
  </w:num>
  <w:num w:numId="14">
    <w:abstractNumId w:val="14"/>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1"/>
  <w:bordersDoNotSurroundFooter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060B"/>
    <w:rsid w:val="000315D6"/>
    <w:rsid w:val="00064696"/>
    <w:rsid w:val="00090806"/>
    <w:rsid w:val="00090F06"/>
    <w:rsid w:val="000B136A"/>
    <w:rsid w:val="000C5AC6"/>
    <w:rsid w:val="000D0B58"/>
    <w:rsid w:val="0010088E"/>
    <w:rsid w:val="00107394"/>
    <w:rsid w:val="001126B1"/>
    <w:rsid w:val="00131323"/>
    <w:rsid w:val="0016462C"/>
    <w:rsid w:val="00172A27"/>
    <w:rsid w:val="001850EF"/>
    <w:rsid w:val="001E2AF0"/>
    <w:rsid w:val="002046E1"/>
    <w:rsid w:val="002804DA"/>
    <w:rsid w:val="00284FAC"/>
    <w:rsid w:val="002B1235"/>
    <w:rsid w:val="002F111A"/>
    <w:rsid w:val="003040CB"/>
    <w:rsid w:val="00324423"/>
    <w:rsid w:val="00361091"/>
    <w:rsid w:val="00376428"/>
    <w:rsid w:val="003A5F3F"/>
    <w:rsid w:val="003A734B"/>
    <w:rsid w:val="003F2E37"/>
    <w:rsid w:val="003F566A"/>
    <w:rsid w:val="003F6737"/>
    <w:rsid w:val="0044683C"/>
    <w:rsid w:val="00446C15"/>
    <w:rsid w:val="00461075"/>
    <w:rsid w:val="00472DDC"/>
    <w:rsid w:val="00484948"/>
    <w:rsid w:val="004C0FB5"/>
    <w:rsid w:val="004E6C2C"/>
    <w:rsid w:val="00502BDC"/>
    <w:rsid w:val="005152B6"/>
    <w:rsid w:val="00534AAA"/>
    <w:rsid w:val="0058043F"/>
    <w:rsid w:val="005B065E"/>
    <w:rsid w:val="005F3659"/>
    <w:rsid w:val="00617398"/>
    <w:rsid w:val="00693244"/>
    <w:rsid w:val="006A0326"/>
    <w:rsid w:val="006B1693"/>
    <w:rsid w:val="006E33D4"/>
    <w:rsid w:val="006E5395"/>
    <w:rsid w:val="00724BF3"/>
    <w:rsid w:val="00724CB4"/>
    <w:rsid w:val="00730D39"/>
    <w:rsid w:val="00750154"/>
    <w:rsid w:val="007712A5"/>
    <w:rsid w:val="007D0FE8"/>
    <w:rsid w:val="008052E8"/>
    <w:rsid w:val="0088291C"/>
    <w:rsid w:val="00892B4D"/>
    <w:rsid w:val="008A4814"/>
    <w:rsid w:val="008A657C"/>
    <w:rsid w:val="008F1090"/>
    <w:rsid w:val="0090054A"/>
    <w:rsid w:val="00905AB7"/>
    <w:rsid w:val="009307D3"/>
    <w:rsid w:val="00951001"/>
    <w:rsid w:val="0096044C"/>
    <w:rsid w:val="009E6890"/>
    <w:rsid w:val="00A11F6C"/>
    <w:rsid w:val="00A37264"/>
    <w:rsid w:val="00A37C0A"/>
    <w:rsid w:val="00A43275"/>
    <w:rsid w:val="00A43FD0"/>
    <w:rsid w:val="00A44B1B"/>
    <w:rsid w:val="00A60FB4"/>
    <w:rsid w:val="00A675C8"/>
    <w:rsid w:val="00A771B5"/>
    <w:rsid w:val="00A97E84"/>
    <w:rsid w:val="00AA67A4"/>
    <w:rsid w:val="00AE0DD1"/>
    <w:rsid w:val="00B13BC4"/>
    <w:rsid w:val="00B716E2"/>
    <w:rsid w:val="00B72D86"/>
    <w:rsid w:val="00B844A6"/>
    <w:rsid w:val="00B9151A"/>
    <w:rsid w:val="00BA61AE"/>
    <w:rsid w:val="00BA760E"/>
    <w:rsid w:val="00BD2C1D"/>
    <w:rsid w:val="00C06613"/>
    <w:rsid w:val="00C0766C"/>
    <w:rsid w:val="00C12B2D"/>
    <w:rsid w:val="00C24898"/>
    <w:rsid w:val="00C31AC2"/>
    <w:rsid w:val="00C76D2D"/>
    <w:rsid w:val="00CA6D19"/>
    <w:rsid w:val="00CE0F5C"/>
    <w:rsid w:val="00CF19D9"/>
    <w:rsid w:val="00CF71E4"/>
    <w:rsid w:val="00D92C30"/>
    <w:rsid w:val="00D967C2"/>
    <w:rsid w:val="00DB24EF"/>
    <w:rsid w:val="00DB3CBC"/>
    <w:rsid w:val="00DE40C8"/>
    <w:rsid w:val="00E3426B"/>
    <w:rsid w:val="00E370D1"/>
    <w:rsid w:val="00E579FF"/>
    <w:rsid w:val="00E90250"/>
    <w:rsid w:val="00EA0D7F"/>
    <w:rsid w:val="00ED5E54"/>
    <w:rsid w:val="00F15982"/>
    <w:rsid w:val="00F566AB"/>
    <w:rsid w:val="00FB798E"/>
    <w:rsid w:val="010815F7"/>
    <w:rsid w:val="0136391B"/>
    <w:rsid w:val="015C6038"/>
    <w:rsid w:val="01764F01"/>
    <w:rsid w:val="01B37B77"/>
    <w:rsid w:val="024D6B6A"/>
    <w:rsid w:val="025F6F73"/>
    <w:rsid w:val="029B04E7"/>
    <w:rsid w:val="02C33A5D"/>
    <w:rsid w:val="02D31073"/>
    <w:rsid w:val="02E52B54"/>
    <w:rsid w:val="03073BDC"/>
    <w:rsid w:val="03337158"/>
    <w:rsid w:val="033415AD"/>
    <w:rsid w:val="035119DB"/>
    <w:rsid w:val="03A571FD"/>
    <w:rsid w:val="03CB61F8"/>
    <w:rsid w:val="03D8045E"/>
    <w:rsid w:val="0426573F"/>
    <w:rsid w:val="05436F94"/>
    <w:rsid w:val="0555228E"/>
    <w:rsid w:val="05CB01BD"/>
    <w:rsid w:val="05E078B3"/>
    <w:rsid w:val="05EF7864"/>
    <w:rsid w:val="0626633F"/>
    <w:rsid w:val="07612CE5"/>
    <w:rsid w:val="07782CC3"/>
    <w:rsid w:val="077D0583"/>
    <w:rsid w:val="07CD7FFF"/>
    <w:rsid w:val="08010EE0"/>
    <w:rsid w:val="082A352F"/>
    <w:rsid w:val="08891EDC"/>
    <w:rsid w:val="08D07516"/>
    <w:rsid w:val="08D82235"/>
    <w:rsid w:val="0920787B"/>
    <w:rsid w:val="09B70218"/>
    <w:rsid w:val="09F67CD5"/>
    <w:rsid w:val="0A074246"/>
    <w:rsid w:val="0A32643C"/>
    <w:rsid w:val="0AC310AE"/>
    <w:rsid w:val="0AF53788"/>
    <w:rsid w:val="0AFD671A"/>
    <w:rsid w:val="0B0565CA"/>
    <w:rsid w:val="0B5A12D7"/>
    <w:rsid w:val="0B9E71DF"/>
    <w:rsid w:val="0BCD7E3E"/>
    <w:rsid w:val="0C080A80"/>
    <w:rsid w:val="0C0A15BD"/>
    <w:rsid w:val="0C2327C2"/>
    <w:rsid w:val="0C8430EB"/>
    <w:rsid w:val="0D0B641D"/>
    <w:rsid w:val="0D3E3903"/>
    <w:rsid w:val="0D692AE3"/>
    <w:rsid w:val="0D831114"/>
    <w:rsid w:val="0E3D059D"/>
    <w:rsid w:val="0E665AE6"/>
    <w:rsid w:val="0F476C8A"/>
    <w:rsid w:val="0F5D04D8"/>
    <w:rsid w:val="0FE40E07"/>
    <w:rsid w:val="100A1D1A"/>
    <w:rsid w:val="10A50104"/>
    <w:rsid w:val="10C12078"/>
    <w:rsid w:val="10DE08C5"/>
    <w:rsid w:val="119D7849"/>
    <w:rsid w:val="12114809"/>
    <w:rsid w:val="124A4EC4"/>
    <w:rsid w:val="129273D6"/>
    <w:rsid w:val="12A47B4E"/>
    <w:rsid w:val="12FA6450"/>
    <w:rsid w:val="1354541C"/>
    <w:rsid w:val="13CA595A"/>
    <w:rsid w:val="13CC3BA1"/>
    <w:rsid w:val="14B21339"/>
    <w:rsid w:val="14DA3DA1"/>
    <w:rsid w:val="14E20458"/>
    <w:rsid w:val="154D7E15"/>
    <w:rsid w:val="15550035"/>
    <w:rsid w:val="15C30A81"/>
    <w:rsid w:val="15C3343B"/>
    <w:rsid w:val="160C36EF"/>
    <w:rsid w:val="16127EB3"/>
    <w:rsid w:val="166A41A1"/>
    <w:rsid w:val="16894F77"/>
    <w:rsid w:val="16D04C14"/>
    <w:rsid w:val="16D12955"/>
    <w:rsid w:val="17155857"/>
    <w:rsid w:val="177D44CE"/>
    <w:rsid w:val="177F599E"/>
    <w:rsid w:val="1790184A"/>
    <w:rsid w:val="17BC31C0"/>
    <w:rsid w:val="180F06FB"/>
    <w:rsid w:val="184934F7"/>
    <w:rsid w:val="187E21BC"/>
    <w:rsid w:val="18C44032"/>
    <w:rsid w:val="18FB16B0"/>
    <w:rsid w:val="19010C43"/>
    <w:rsid w:val="19084C73"/>
    <w:rsid w:val="19363361"/>
    <w:rsid w:val="193C5FF4"/>
    <w:rsid w:val="19607427"/>
    <w:rsid w:val="19653003"/>
    <w:rsid w:val="1A044025"/>
    <w:rsid w:val="1A054259"/>
    <w:rsid w:val="1B06103F"/>
    <w:rsid w:val="1B1B20F3"/>
    <w:rsid w:val="1B70220F"/>
    <w:rsid w:val="1B7F6005"/>
    <w:rsid w:val="1BAB2ECE"/>
    <w:rsid w:val="1C132CB9"/>
    <w:rsid w:val="1C7A0D82"/>
    <w:rsid w:val="1CCC26CA"/>
    <w:rsid w:val="1CE60535"/>
    <w:rsid w:val="1DE1589E"/>
    <w:rsid w:val="1E68580A"/>
    <w:rsid w:val="1E7749FE"/>
    <w:rsid w:val="1E804E6F"/>
    <w:rsid w:val="1E9D6342"/>
    <w:rsid w:val="1F04781B"/>
    <w:rsid w:val="1F56727C"/>
    <w:rsid w:val="1F922F6A"/>
    <w:rsid w:val="1F986125"/>
    <w:rsid w:val="1FF353D5"/>
    <w:rsid w:val="20067279"/>
    <w:rsid w:val="2011087F"/>
    <w:rsid w:val="20314BD3"/>
    <w:rsid w:val="204E6676"/>
    <w:rsid w:val="20703C98"/>
    <w:rsid w:val="208435C3"/>
    <w:rsid w:val="20D5379F"/>
    <w:rsid w:val="20E1109F"/>
    <w:rsid w:val="216A7EE4"/>
    <w:rsid w:val="2195668B"/>
    <w:rsid w:val="219A26CD"/>
    <w:rsid w:val="22623BD9"/>
    <w:rsid w:val="22AC32FF"/>
    <w:rsid w:val="233732F5"/>
    <w:rsid w:val="242E6DF2"/>
    <w:rsid w:val="245C52F8"/>
    <w:rsid w:val="2463385E"/>
    <w:rsid w:val="24E11799"/>
    <w:rsid w:val="25134332"/>
    <w:rsid w:val="256277D4"/>
    <w:rsid w:val="257E508F"/>
    <w:rsid w:val="258E69E5"/>
    <w:rsid w:val="25DE0444"/>
    <w:rsid w:val="26401730"/>
    <w:rsid w:val="265A7989"/>
    <w:rsid w:val="26872FC8"/>
    <w:rsid w:val="26C95C61"/>
    <w:rsid w:val="26F85F4E"/>
    <w:rsid w:val="27695916"/>
    <w:rsid w:val="277B6D77"/>
    <w:rsid w:val="27AB7429"/>
    <w:rsid w:val="27B27745"/>
    <w:rsid w:val="288C17EC"/>
    <w:rsid w:val="28BC2BF0"/>
    <w:rsid w:val="29014FF1"/>
    <w:rsid w:val="291D53D8"/>
    <w:rsid w:val="29386F00"/>
    <w:rsid w:val="29ED118B"/>
    <w:rsid w:val="29FA7F26"/>
    <w:rsid w:val="2A0840C1"/>
    <w:rsid w:val="2A2E5140"/>
    <w:rsid w:val="2A782D5E"/>
    <w:rsid w:val="2A9D178A"/>
    <w:rsid w:val="2AA363A7"/>
    <w:rsid w:val="2AE75BAD"/>
    <w:rsid w:val="2B8B30BF"/>
    <w:rsid w:val="2BAE1A53"/>
    <w:rsid w:val="2BD2348F"/>
    <w:rsid w:val="2BDE6F9E"/>
    <w:rsid w:val="2BED5BE5"/>
    <w:rsid w:val="2C4E6C6C"/>
    <w:rsid w:val="2C6B410C"/>
    <w:rsid w:val="2CAE2E43"/>
    <w:rsid w:val="2CC8136A"/>
    <w:rsid w:val="2CCF4BA0"/>
    <w:rsid w:val="2E1675EA"/>
    <w:rsid w:val="2EAF25DE"/>
    <w:rsid w:val="2F1251F2"/>
    <w:rsid w:val="2F2909FC"/>
    <w:rsid w:val="2F342AE4"/>
    <w:rsid w:val="2F8B60D5"/>
    <w:rsid w:val="2FC34B4E"/>
    <w:rsid w:val="2FE24C5E"/>
    <w:rsid w:val="2FED2F7D"/>
    <w:rsid w:val="2FF42087"/>
    <w:rsid w:val="30625BBC"/>
    <w:rsid w:val="308871CD"/>
    <w:rsid w:val="30962F3E"/>
    <w:rsid w:val="30970AC5"/>
    <w:rsid w:val="30C21DAF"/>
    <w:rsid w:val="30C63409"/>
    <w:rsid w:val="30CC33EE"/>
    <w:rsid w:val="30D17E68"/>
    <w:rsid w:val="30FF2795"/>
    <w:rsid w:val="316C44F9"/>
    <w:rsid w:val="31D2689F"/>
    <w:rsid w:val="31DA51BD"/>
    <w:rsid w:val="32061B07"/>
    <w:rsid w:val="32342292"/>
    <w:rsid w:val="32885BAE"/>
    <w:rsid w:val="329A6ACE"/>
    <w:rsid w:val="32EC346F"/>
    <w:rsid w:val="33041556"/>
    <w:rsid w:val="333A1523"/>
    <w:rsid w:val="33AA747D"/>
    <w:rsid w:val="33E71E06"/>
    <w:rsid w:val="345D6E8A"/>
    <w:rsid w:val="34786606"/>
    <w:rsid w:val="34C520CE"/>
    <w:rsid w:val="34D04BBA"/>
    <w:rsid w:val="34E52C26"/>
    <w:rsid w:val="35A9068B"/>
    <w:rsid w:val="360B1D73"/>
    <w:rsid w:val="36182203"/>
    <w:rsid w:val="361F3323"/>
    <w:rsid w:val="36E93760"/>
    <w:rsid w:val="370E36AE"/>
    <w:rsid w:val="371F1267"/>
    <w:rsid w:val="37444568"/>
    <w:rsid w:val="3784394E"/>
    <w:rsid w:val="37F74D19"/>
    <w:rsid w:val="3841578A"/>
    <w:rsid w:val="38A97269"/>
    <w:rsid w:val="38AE3BB0"/>
    <w:rsid w:val="38D44F5D"/>
    <w:rsid w:val="3933336C"/>
    <w:rsid w:val="39410D8B"/>
    <w:rsid w:val="397B569D"/>
    <w:rsid w:val="39A72AEC"/>
    <w:rsid w:val="39CE69AE"/>
    <w:rsid w:val="39E9024E"/>
    <w:rsid w:val="39F7167A"/>
    <w:rsid w:val="3A3425C1"/>
    <w:rsid w:val="3A525382"/>
    <w:rsid w:val="3A657DA2"/>
    <w:rsid w:val="3AC4552B"/>
    <w:rsid w:val="3ACA5EE5"/>
    <w:rsid w:val="3ACB5746"/>
    <w:rsid w:val="3B03669D"/>
    <w:rsid w:val="3B10060D"/>
    <w:rsid w:val="3B257BBC"/>
    <w:rsid w:val="3B2B7E19"/>
    <w:rsid w:val="3BB20883"/>
    <w:rsid w:val="3C4835E1"/>
    <w:rsid w:val="3CE94E5C"/>
    <w:rsid w:val="3CFA6018"/>
    <w:rsid w:val="3D0C05A1"/>
    <w:rsid w:val="3D3A7223"/>
    <w:rsid w:val="3D8D0A54"/>
    <w:rsid w:val="3DCE1312"/>
    <w:rsid w:val="3DCF6789"/>
    <w:rsid w:val="3DE15E8A"/>
    <w:rsid w:val="3E1A1175"/>
    <w:rsid w:val="3E1C0F14"/>
    <w:rsid w:val="3E2B1EA2"/>
    <w:rsid w:val="3E441C7D"/>
    <w:rsid w:val="3EAA7601"/>
    <w:rsid w:val="3EB12AB3"/>
    <w:rsid w:val="3EC74B00"/>
    <w:rsid w:val="3F093324"/>
    <w:rsid w:val="3FC956FF"/>
    <w:rsid w:val="3FCA461C"/>
    <w:rsid w:val="3FFD1BD2"/>
    <w:rsid w:val="404402D4"/>
    <w:rsid w:val="40A36A71"/>
    <w:rsid w:val="410975DE"/>
    <w:rsid w:val="411735FE"/>
    <w:rsid w:val="411E3D0D"/>
    <w:rsid w:val="416C36BE"/>
    <w:rsid w:val="417453A6"/>
    <w:rsid w:val="418803D5"/>
    <w:rsid w:val="41D87188"/>
    <w:rsid w:val="41F466FD"/>
    <w:rsid w:val="422A1A00"/>
    <w:rsid w:val="42526F73"/>
    <w:rsid w:val="42850C0D"/>
    <w:rsid w:val="42A67A24"/>
    <w:rsid w:val="42ED55BB"/>
    <w:rsid w:val="43146828"/>
    <w:rsid w:val="43A8708C"/>
    <w:rsid w:val="440D5045"/>
    <w:rsid w:val="4428347A"/>
    <w:rsid w:val="446D1058"/>
    <w:rsid w:val="44794C68"/>
    <w:rsid w:val="44C00D19"/>
    <w:rsid w:val="44E955E2"/>
    <w:rsid w:val="451746FC"/>
    <w:rsid w:val="45477EC1"/>
    <w:rsid w:val="4550698C"/>
    <w:rsid w:val="457C35C1"/>
    <w:rsid w:val="459A37A5"/>
    <w:rsid w:val="45B76AAA"/>
    <w:rsid w:val="45BE6191"/>
    <w:rsid w:val="46090FAA"/>
    <w:rsid w:val="460C5979"/>
    <w:rsid w:val="46365D49"/>
    <w:rsid w:val="46917782"/>
    <w:rsid w:val="46D31791"/>
    <w:rsid w:val="471A7159"/>
    <w:rsid w:val="47520D40"/>
    <w:rsid w:val="47C01792"/>
    <w:rsid w:val="47E50E76"/>
    <w:rsid w:val="4808150F"/>
    <w:rsid w:val="4834304B"/>
    <w:rsid w:val="484059CE"/>
    <w:rsid w:val="48733BEB"/>
    <w:rsid w:val="487A09FA"/>
    <w:rsid w:val="48AD17DA"/>
    <w:rsid w:val="48BA1529"/>
    <w:rsid w:val="49D34C08"/>
    <w:rsid w:val="4A3224FB"/>
    <w:rsid w:val="4A5653D9"/>
    <w:rsid w:val="4AAD35CE"/>
    <w:rsid w:val="4AC31003"/>
    <w:rsid w:val="4ADD117A"/>
    <w:rsid w:val="4AE93159"/>
    <w:rsid w:val="4B6031AA"/>
    <w:rsid w:val="4B792DA0"/>
    <w:rsid w:val="4BD0339A"/>
    <w:rsid w:val="4BE219AB"/>
    <w:rsid w:val="4BEC586D"/>
    <w:rsid w:val="4C080729"/>
    <w:rsid w:val="4C5441D8"/>
    <w:rsid w:val="4C741C0E"/>
    <w:rsid w:val="4C754C55"/>
    <w:rsid w:val="4CA22D8F"/>
    <w:rsid w:val="4CF35830"/>
    <w:rsid w:val="4D0E017F"/>
    <w:rsid w:val="4D462159"/>
    <w:rsid w:val="4D701C0A"/>
    <w:rsid w:val="4D766A6D"/>
    <w:rsid w:val="4DB20406"/>
    <w:rsid w:val="4DBC7264"/>
    <w:rsid w:val="4DC605B6"/>
    <w:rsid w:val="4DC81D5C"/>
    <w:rsid w:val="4DE96F16"/>
    <w:rsid w:val="4DEC0985"/>
    <w:rsid w:val="4E27683A"/>
    <w:rsid w:val="4E654861"/>
    <w:rsid w:val="4E787E01"/>
    <w:rsid w:val="4ED705ED"/>
    <w:rsid w:val="4F2765B1"/>
    <w:rsid w:val="4F285975"/>
    <w:rsid w:val="4F2A4DAA"/>
    <w:rsid w:val="4F930B48"/>
    <w:rsid w:val="4F987EA8"/>
    <w:rsid w:val="50093607"/>
    <w:rsid w:val="508B01F1"/>
    <w:rsid w:val="511B6D36"/>
    <w:rsid w:val="51867298"/>
    <w:rsid w:val="51AC662B"/>
    <w:rsid w:val="51D22DD2"/>
    <w:rsid w:val="52283CC2"/>
    <w:rsid w:val="52A2457C"/>
    <w:rsid w:val="52BA79AE"/>
    <w:rsid w:val="52BF413D"/>
    <w:rsid w:val="52D73E62"/>
    <w:rsid w:val="52E04D27"/>
    <w:rsid w:val="53397E13"/>
    <w:rsid w:val="53B30943"/>
    <w:rsid w:val="53DB3477"/>
    <w:rsid w:val="53F202C7"/>
    <w:rsid w:val="547A60B6"/>
    <w:rsid w:val="55396B97"/>
    <w:rsid w:val="55540163"/>
    <w:rsid w:val="55DD6F2A"/>
    <w:rsid w:val="560C0FE1"/>
    <w:rsid w:val="56AB3932"/>
    <w:rsid w:val="56CC5358"/>
    <w:rsid w:val="56E5147C"/>
    <w:rsid w:val="5725306E"/>
    <w:rsid w:val="575042B0"/>
    <w:rsid w:val="575223F6"/>
    <w:rsid w:val="578F220A"/>
    <w:rsid w:val="57AE16CE"/>
    <w:rsid w:val="57FC07D9"/>
    <w:rsid w:val="58463F70"/>
    <w:rsid w:val="584F0A6E"/>
    <w:rsid w:val="58500F22"/>
    <w:rsid w:val="58C03E9F"/>
    <w:rsid w:val="5911631B"/>
    <w:rsid w:val="59707ED6"/>
    <w:rsid w:val="59740238"/>
    <w:rsid w:val="59784BA2"/>
    <w:rsid w:val="59974E1C"/>
    <w:rsid w:val="59AC2530"/>
    <w:rsid w:val="59B341A4"/>
    <w:rsid w:val="59D91835"/>
    <w:rsid w:val="5A672422"/>
    <w:rsid w:val="5AC02657"/>
    <w:rsid w:val="5ACB19B6"/>
    <w:rsid w:val="5ACF0F3A"/>
    <w:rsid w:val="5B115F33"/>
    <w:rsid w:val="5B2D58B9"/>
    <w:rsid w:val="5BAB38E6"/>
    <w:rsid w:val="5BCC36B1"/>
    <w:rsid w:val="5BEC1F3E"/>
    <w:rsid w:val="5C6B1600"/>
    <w:rsid w:val="5CBF74DB"/>
    <w:rsid w:val="5D0D4ED5"/>
    <w:rsid w:val="5D3E6C78"/>
    <w:rsid w:val="5D5313C9"/>
    <w:rsid w:val="5D572C1B"/>
    <w:rsid w:val="5D972B60"/>
    <w:rsid w:val="5D9D7CEE"/>
    <w:rsid w:val="5DE269F6"/>
    <w:rsid w:val="5DFD51DB"/>
    <w:rsid w:val="5E0D36E5"/>
    <w:rsid w:val="5E403B42"/>
    <w:rsid w:val="5E7008C7"/>
    <w:rsid w:val="5E8A0947"/>
    <w:rsid w:val="5E8E36A2"/>
    <w:rsid w:val="5E950C48"/>
    <w:rsid w:val="5EBE625C"/>
    <w:rsid w:val="5EC75D72"/>
    <w:rsid w:val="5ED4683B"/>
    <w:rsid w:val="5F1550C3"/>
    <w:rsid w:val="5F2A30E7"/>
    <w:rsid w:val="5FB96064"/>
    <w:rsid w:val="5FC82DDC"/>
    <w:rsid w:val="607C3753"/>
    <w:rsid w:val="60846D02"/>
    <w:rsid w:val="60C30855"/>
    <w:rsid w:val="6102508A"/>
    <w:rsid w:val="61264BF9"/>
    <w:rsid w:val="61421EFD"/>
    <w:rsid w:val="615C5041"/>
    <w:rsid w:val="61704586"/>
    <w:rsid w:val="61DD7C0C"/>
    <w:rsid w:val="61E9645D"/>
    <w:rsid w:val="62E16B5F"/>
    <w:rsid w:val="62E57334"/>
    <w:rsid w:val="634778A3"/>
    <w:rsid w:val="635B1143"/>
    <w:rsid w:val="63E605D3"/>
    <w:rsid w:val="649354A2"/>
    <w:rsid w:val="64BC72C8"/>
    <w:rsid w:val="64CD65F5"/>
    <w:rsid w:val="64FD20FB"/>
    <w:rsid w:val="664805B8"/>
    <w:rsid w:val="666C79D1"/>
    <w:rsid w:val="67B825B7"/>
    <w:rsid w:val="67EE6F4A"/>
    <w:rsid w:val="68121833"/>
    <w:rsid w:val="686D30B2"/>
    <w:rsid w:val="68F52B8B"/>
    <w:rsid w:val="69013CA8"/>
    <w:rsid w:val="690F418B"/>
    <w:rsid w:val="695D4A1A"/>
    <w:rsid w:val="69C877BD"/>
    <w:rsid w:val="69F02687"/>
    <w:rsid w:val="6A700F0C"/>
    <w:rsid w:val="6A7A2736"/>
    <w:rsid w:val="6A7B4B9C"/>
    <w:rsid w:val="6AD55730"/>
    <w:rsid w:val="6B814D22"/>
    <w:rsid w:val="6B884B09"/>
    <w:rsid w:val="6B9C2050"/>
    <w:rsid w:val="6BF77E77"/>
    <w:rsid w:val="6C270618"/>
    <w:rsid w:val="6C89456C"/>
    <w:rsid w:val="6C99373E"/>
    <w:rsid w:val="6D687088"/>
    <w:rsid w:val="6D6F59C7"/>
    <w:rsid w:val="6D8401EB"/>
    <w:rsid w:val="6D9C298F"/>
    <w:rsid w:val="6ECF34F4"/>
    <w:rsid w:val="6F1A42A0"/>
    <w:rsid w:val="6F380EF1"/>
    <w:rsid w:val="6FA629D4"/>
    <w:rsid w:val="6FCC4D16"/>
    <w:rsid w:val="70B47527"/>
    <w:rsid w:val="70BB2EF0"/>
    <w:rsid w:val="711E75BD"/>
    <w:rsid w:val="715A196E"/>
    <w:rsid w:val="716550A2"/>
    <w:rsid w:val="71FE12AC"/>
    <w:rsid w:val="72801DBE"/>
    <w:rsid w:val="72AB2FE8"/>
    <w:rsid w:val="73070334"/>
    <w:rsid w:val="73110A8A"/>
    <w:rsid w:val="73D425F7"/>
    <w:rsid w:val="74292B39"/>
    <w:rsid w:val="74C10E66"/>
    <w:rsid w:val="750A5172"/>
    <w:rsid w:val="750B3051"/>
    <w:rsid w:val="75614BD4"/>
    <w:rsid w:val="756310F8"/>
    <w:rsid w:val="76274B15"/>
    <w:rsid w:val="762C5A1F"/>
    <w:rsid w:val="765B63CE"/>
    <w:rsid w:val="76933951"/>
    <w:rsid w:val="7697404C"/>
    <w:rsid w:val="76D13A33"/>
    <w:rsid w:val="76F86DB9"/>
    <w:rsid w:val="770C5B97"/>
    <w:rsid w:val="77342219"/>
    <w:rsid w:val="77405CDA"/>
    <w:rsid w:val="775D348F"/>
    <w:rsid w:val="775D60FB"/>
    <w:rsid w:val="776D3298"/>
    <w:rsid w:val="77F84DDA"/>
    <w:rsid w:val="78782A0D"/>
    <w:rsid w:val="78AC5790"/>
    <w:rsid w:val="78B626A1"/>
    <w:rsid w:val="78BA3098"/>
    <w:rsid w:val="796B4E06"/>
    <w:rsid w:val="79A2171F"/>
    <w:rsid w:val="79A252FF"/>
    <w:rsid w:val="79D33056"/>
    <w:rsid w:val="79E323AD"/>
    <w:rsid w:val="7AA409AF"/>
    <w:rsid w:val="7AA634E6"/>
    <w:rsid w:val="7AF4293B"/>
    <w:rsid w:val="7B1A7E3F"/>
    <w:rsid w:val="7B21417A"/>
    <w:rsid w:val="7C0425AD"/>
    <w:rsid w:val="7C2431EB"/>
    <w:rsid w:val="7C26369C"/>
    <w:rsid w:val="7C9E5A24"/>
    <w:rsid w:val="7CC444C2"/>
    <w:rsid w:val="7CC97E23"/>
    <w:rsid w:val="7CEA02E8"/>
    <w:rsid w:val="7D1259D2"/>
    <w:rsid w:val="7D204086"/>
    <w:rsid w:val="7D3278DE"/>
    <w:rsid w:val="7D62117D"/>
    <w:rsid w:val="7D6A408D"/>
    <w:rsid w:val="7D9F6596"/>
    <w:rsid w:val="7DE93492"/>
    <w:rsid w:val="7E3E1EF2"/>
    <w:rsid w:val="7E4E6EC3"/>
    <w:rsid w:val="7EBC421D"/>
    <w:rsid w:val="7EF74FC9"/>
    <w:rsid w:val="7F5A38D2"/>
    <w:rsid w:val="7FB7122A"/>
    <w:rsid w:val="7FC76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99" w:name="toc 1"/>
    <w:lsdException w:qFormat="1"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99" w:name="annotation text"/>
    <w:lsdException w:qFormat="1" w:unhideWhenUsed="0" w:uiPriority="0" w:name="header"/>
    <w:lsdException w:qFormat="1" w:uiPriority="99"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unhideWhenUsed="0" w:uiPriority="99" w:semiHidden="0" w:name="Strong"/>
    <w:lsdException w:unhideWhenUsed="0" w:uiPriority="99"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spacing w:before="120"/>
      <w:ind w:left="0"/>
      <w:outlineLvl w:val="2"/>
    </w:pPr>
    <w:rPr>
      <w:sz w:val="24"/>
    </w:rPr>
  </w:style>
  <w:style w:type="paragraph" w:styleId="5">
    <w:name w:val="heading 4"/>
    <w:basedOn w:val="1"/>
    <w:next w:val="1"/>
    <w:link w:val="36"/>
    <w:semiHidden/>
    <w:unhideWhenUsed/>
    <w:qFormat/>
    <w:uiPriority w:val="9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0"/>
    <w:qFormat/>
    <w:uiPriority w:val="0"/>
    <w:pPr>
      <w:suppressAutoHyphens/>
      <w:overflowPunct w:val="0"/>
      <w:autoSpaceDE w:val="0"/>
      <w:spacing w:beforeLines="0" w:afterLines="0" w:line="240" w:lineRule="auto"/>
      <w:jc w:val="left"/>
      <w:textAlignment w:val="baseline"/>
    </w:pPr>
    <w:rPr>
      <w:rFonts w:eastAsia="Times New Roman"/>
      <w:b/>
      <w:kern w:val="0"/>
      <w:sz w:val="20"/>
      <w:lang w:val="en-GB" w:eastAsia="ar-SA"/>
    </w:rPr>
  </w:style>
  <w:style w:type="paragraph" w:styleId="7">
    <w:name w:val="Document Map"/>
    <w:basedOn w:val="1"/>
    <w:link w:val="34"/>
    <w:semiHidden/>
    <w:unhideWhenUsed/>
    <w:qFormat/>
    <w:uiPriority w:val="99"/>
    <w:pPr>
      <w:spacing w:line="240" w:lineRule="auto"/>
    </w:pPr>
    <w:rPr>
      <w:rFonts w:ascii="Tahoma" w:hAnsi="Tahoma" w:cs="Tahoma"/>
      <w:sz w:val="16"/>
      <w:szCs w:val="16"/>
    </w:rPr>
  </w:style>
  <w:style w:type="paragraph" w:styleId="8">
    <w:name w:val="annotation text"/>
    <w:basedOn w:val="1"/>
    <w:link w:val="31"/>
    <w:semiHidden/>
    <w:unhideWhenUsed/>
    <w:qFormat/>
    <w:uiPriority w:val="99"/>
    <w:pPr>
      <w:jc w:val="left"/>
    </w:pPr>
  </w:style>
  <w:style w:type="paragraph" w:styleId="9">
    <w:name w:val="Body Text"/>
    <w:basedOn w:val="1"/>
    <w:qFormat/>
    <w:uiPriority w:val="0"/>
    <w:pPr>
      <w:spacing w:after="120"/>
    </w:pPr>
  </w:style>
  <w:style w:type="paragraph" w:styleId="10">
    <w:name w:val="Balloon Text"/>
    <w:basedOn w:val="1"/>
    <w:link w:val="22"/>
    <w:semiHidden/>
    <w:unhideWhenUsed/>
    <w:qFormat/>
    <w:uiPriority w:val="99"/>
    <w:pPr>
      <w:spacing w:line="240" w:lineRule="auto"/>
    </w:pPr>
    <w:rPr>
      <w:rFonts w:ascii="Microsoft YaHei UI" w:eastAsia="Microsoft YaHei UI"/>
      <w:sz w:val="18"/>
      <w:szCs w:val="18"/>
    </w:rPr>
  </w:style>
  <w:style w:type="paragraph" w:styleId="11">
    <w:name w:val="footer"/>
    <w:basedOn w:val="1"/>
    <w:link w:val="35"/>
    <w:unhideWhenUsed/>
    <w:qFormat/>
    <w:uiPriority w:val="99"/>
    <w:pPr>
      <w:tabs>
        <w:tab w:val="center" w:pos="4153"/>
        <w:tab w:val="right" w:pos="8306"/>
      </w:tabs>
      <w:snapToGrid w:val="0"/>
      <w:jc w:val="left"/>
    </w:pPr>
    <w:rPr>
      <w:sz w:val="18"/>
      <w:szCs w:val="18"/>
    </w:rPr>
  </w:style>
  <w:style w:type="paragraph" w:styleId="12">
    <w:name w:val="header"/>
    <w:basedOn w:val="1"/>
    <w:link w:val="30"/>
    <w:semiHidden/>
    <w:qFormat/>
    <w:uiPriority w:val="0"/>
    <w:pPr>
      <w:tabs>
        <w:tab w:val="center" w:pos="4320"/>
        <w:tab w:val="right" w:pos="8640"/>
      </w:tabs>
      <w:spacing w:line="240" w:lineRule="auto"/>
    </w:pPr>
  </w:style>
  <w:style w:type="paragraph" w:styleId="13">
    <w:name w:val="toc 1"/>
    <w:basedOn w:val="1"/>
    <w:next w:val="1"/>
    <w:semiHidden/>
    <w:unhideWhenUsed/>
    <w:qFormat/>
    <w:uiPriority w:val="99"/>
    <w:rPr>
      <w:rFonts w:eastAsiaTheme="minorEastAsia"/>
      <w:b/>
      <w:i/>
      <w:sz w:val="20"/>
    </w:rPr>
  </w:style>
  <w:style w:type="paragraph" w:styleId="14">
    <w:name w:val="table of figures"/>
    <w:basedOn w:val="1"/>
    <w:next w:val="1"/>
    <w:semiHidden/>
    <w:unhideWhenUsed/>
    <w:qFormat/>
    <w:uiPriority w:val="99"/>
    <w:pPr>
      <w:ind w:left="200" w:leftChars="200" w:hanging="200" w:hangingChars="200"/>
    </w:pPr>
  </w:style>
  <w:style w:type="paragraph" w:styleId="15">
    <w:name w:val="toc 2"/>
    <w:basedOn w:val="1"/>
    <w:next w:val="1"/>
    <w:semiHidden/>
    <w:unhideWhenUsed/>
    <w:qFormat/>
    <w:uiPriority w:val="99"/>
    <w:pPr>
      <w:ind w:left="420" w:leftChars="200"/>
    </w:pPr>
    <w:rPr>
      <w:b/>
      <w:i/>
      <w:sz w:val="20"/>
    </w:rPr>
  </w:style>
  <w:style w:type="paragraph" w:styleId="16">
    <w:name w:val="annotation subject"/>
    <w:basedOn w:val="8"/>
    <w:next w:val="8"/>
    <w:link w:val="32"/>
    <w:semiHidden/>
    <w:unhideWhenUsed/>
    <w:qFormat/>
    <w:uiPriority w:val="99"/>
    <w:pPr>
      <w:spacing w:line="240" w:lineRule="auto"/>
      <w:jc w:val="both"/>
    </w:pPr>
    <w:rPr>
      <w:b/>
      <w:bCs/>
      <w:sz w:val="20"/>
    </w:rPr>
  </w:style>
  <w:style w:type="table" w:styleId="18">
    <w:name w:val="Table Grid"/>
    <w:basedOn w:val="17"/>
    <w:unhideWhenUse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basedOn w:val="19"/>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批注框文本 Char"/>
    <w:basedOn w:val="19"/>
    <w:link w:val="10"/>
    <w:semiHidden/>
    <w:qFormat/>
    <w:uiPriority w:val="99"/>
    <w:rPr>
      <w:rFonts w:ascii="Microsoft YaHei UI" w:eastAsia="Microsoft YaHei UI"/>
      <w:kern w:val="2"/>
      <w:sz w:val="18"/>
      <w:szCs w:val="18"/>
    </w:rPr>
  </w:style>
  <w:style w:type="paragraph" w:customStyle="1" w:styleId="23">
    <w:name w:val="YJ-Proposal"/>
    <w:basedOn w:val="1"/>
    <w:qFormat/>
    <w:uiPriority w:val="0"/>
    <w:pPr>
      <w:numPr>
        <w:ilvl w:val="0"/>
        <w:numId w:val="2"/>
      </w:numPr>
    </w:pPr>
    <w:rPr>
      <w:rFonts w:eastAsiaTheme="minorEastAsia"/>
      <w:b/>
      <w:bCs/>
      <w:i/>
      <w:iCs/>
      <w:sz w:val="20"/>
      <w:lang w:val="en-GB" w:eastAsia="en-US"/>
    </w:rPr>
  </w:style>
  <w:style w:type="paragraph" w:customStyle="1" w:styleId="24">
    <w:name w:val="YJ-Observation"/>
    <w:basedOn w:val="23"/>
    <w:qFormat/>
    <w:uiPriority w:val="0"/>
    <w:pPr>
      <w:numPr>
        <w:ilvl w:val="0"/>
        <w:numId w:val="3"/>
      </w:numPr>
      <w:tabs>
        <w:tab w:val="left" w:pos="420"/>
      </w:tabs>
    </w:pPr>
  </w:style>
  <w:style w:type="paragraph" w:customStyle="1" w:styleId="25">
    <w:name w:val="sub-proposal"/>
    <w:basedOn w:val="23"/>
    <w:next w:val="1"/>
    <w:qFormat/>
    <w:uiPriority w:val="0"/>
    <w:pPr>
      <w:numPr>
        <w:numId w:val="4"/>
      </w:numPr>
      <w:tabs>
        <w:tab w:val="left" w:pos="807"/>
      </w:tabs>
    </w:pPr>
  </w:style>
  <w:style w:type="paragraph" w:customStyle="1" w:styleId="26">
    <w:name w:val="sub-observation"/>
    <w:basedOn w:val="25"/>
    <w:next w:val="1"/>
    <w:qFormat/>
    <w:uiPriority w:val="0"/>
  </w:style>
  <w:style w:type="paragraph" w:customStyle="1" w:styleId="27">
    <w:name w:val="References"/>
    <w:basedOn w:val="1"/>
    <w:qFormat/>
    <w:uiPriority w:val="0"/>
    <w:pPr>
      <w:numPr>
        <w:ilvl w:val="0"/>
        <w:numId w:val="5"/>
      </w:numPr>
      <w:spacing w:after="60"/>
    </w:pPr>
    <w:rPr>
      <w:szCs w:val="16"/>
    </w:rPr>
  </w:style>
  <w:style w:type="paragraph" w:styleId="28">
    <w:name w:val="List Paragraph"/>
    <w:basedOn w:val="1"/>
    <w:qFormat/>
    <w:uiPriority w:val="34"/>
    <w:pPr>
      <w:spacing w:beforeLines="0" w:line="240" w:lineRule="auto"/>
      <w:ind w:left="720"/>
      <w:contextualSpacing/>
    </w:pPr>
    <w:rPr>
      <w:rFonts w:eastAsia="Times New Roman"/>
      <w:sz w:val="24"/>
      <w:szCs w:val="24"/>
    </w:rPr>
  </w:style>
  <w:style w:type="paragraph" w:customStyle="1" w:styleId="29">
    <w:name w:val="样式1"/>
    <w:basedOn w:val="1"/>
    <w:qFormat/>
    <w:uiPriority w:val="0"/>
  </w:style>
  <w:style w:type="character" w:customStyle="1" w:styleId="30">
    <w:name w:val="页眉 Char"/>
    <w:basedOn w:val="19"/>
    <w:link w:val="12"/>
    <w:semiHidden/>
    <w:qFormat/>
    <w:uiPriority w:val="0"/>
    <w:rPr>
      <w:rFonts w:eastAsia="宋体"/>
      <w:kern w:val="2"/>
      <w:sz w:val="21"/>
    </w:rPr>
  </w:style>
  <w:style w:type="character" w:customStyle="1" w:styleId="31">
    <w:name w:val="批注文字 Char"/>
    <w:basedOn w:val="19"/>
    <w:link w:val="8"/>
    <w:semiHidden/>
    <w:qFormat/>
    <w:uiPriority w:val="99"/>
    <w:rPr>
      <w:rFonts w:eastAsia="宋体"/>
      <w:kern w:val="2"/>
      <w:sz w:val="21"/>
    </w:rPr>
  </w:style>
  <w:style w:type="character" w:customStyle="1" w:styleId="32">
    <w:name w:val="批注主题 Char"/>
    <w:basedOn w:val="31"/>
    <w:link w:val="16"/>
    <w:semiHidden/>
    <w:qFormat/>
    <w:uiPriority w:val="99"/>
    <w:rPr>
      <w:rFonts w:eastAsia="宋体"/>
      <w:b/>
      <w:bCs/>
      <w:kern w:val="2"/>
      <w:sz w:val="21"/>
    </w:rPr>
  </w:style>
  <w:style w:type="paragraph" w:customStyle="1" w:styleId="33">
    <w:name w:val="B1"/>
    <w:basedOn w:val="1"/>
    <w:qFormat/>
    <w:uiPriority w:val="0"/>
    <w:pPr>
      <w:ind w:left="568" w:hanging="284"/>
    </w:pPr>
    <w:rPr>
      <w:lang w:val="zh-CN"/>
    </w:rPr>
  </w:style>
  <w:style w:type="character" w:customStyle="1" w:styleId="34">
    <w:name w:val="文档结构图 Char"/>
    <w:basedOn w:val="19"/>
    <w:link w:val="7"/>
    <w:semiHidden/>
    <w:qFormat/>
    <w:uiPriority w:val="99"/>
    <w:rPr>
      <w:rFonts w:ascii="Tahoma" w:hAnsi="Tahoma" w:eastAsia="宋体" w:cs="Tahoma"/>
      <w:kern w:val="2"/>
      <w:sz w:val="16"/>
      <w:szCs w:val="16"/>
    </w:rPr>
  </w:style>
  <w:style w:type="character" w:customStyle="1" w:styleId="35">
    <w:name w:val="页脚 Char"/>
    <w:basedOn w:val="19"/>
    <w:link w:val="11"/>
    <w:qFormat/>
    <w:uiPriority w:val="99"/>
    <w:rPr>
      <w:rFonts w:eastAsia="宋体"/>
      <w:kern w:val="2"/>
      <w:sz w:val="18"/>
      <w:szCs w:val="18"/>
    </w:rPr>
  </w:style>
  <w:style w:type="character" w:customStyle="1" w:styleId="36">
    <w:name w:val="标题 4 Char"/>
    <w:basedOn w:val="19"/>
    <w:link w:val="5"/>
    <w:semiHidden/>
    <w:qFormat/>
    <w:uiPriority w:val="99"/>
    <w:rPr>
      <w:rFonts w:asciiTheme="majorHAnsi" w:hAnsiTheme="majorHAnsi" w:eastAsiaTheme="majorEastAsia" w:cstheme="majorBidi"/>
      <w:b/>
      <w:bCs/>
      <w:kern w:val="2"/>
      <w:sz w:val="28"/>
      <w:szCs w:val="28"/>
    </w:rPr>
  </w:style>
  <w:style w:type="paragraph" w:customStyle="1" w:styleId="37">
    <w:name w:val="B2"/>
    <w:basedOn w:val="1"/>
    <w:link w:val="39"/>
    <w:qFormat/>
    <w:uiPriority w:val="0"/>
    <w:pPr>
      <w:spacing w:line="240" w:lineRule="auto"/>
      <w:ind w:left="851" w:hanging="284"/>
    </w:pPr>
    <w:rPr>
      <w:lang w:val="zh-CN"/>
    </w:rPr>
  </w:style>
  <w:style w:type="paragraph" w:customStyle="1" w:styleId="38">
    <w:name w:val="B3"/>
    <w:basedOn w:val="1"/>
    <w:qFormat/>
    <w:uiPriority w:val="0"/>
    <w:pPr>
      <w:spacing w:line="240" w:lineRule="auto"/>
      <w:ind w:left="1135" w:hanging="284"/>
    </w:pPr>
    <w:rPr>
      <w:lang w:val="zh-CN"/>
    </w:rPr>
  </w:style>
  <w:style w:type="character" w:customStyle="1" w:styleId="39">
    <w:name w:val="B2 Char"/>
    <w:link w:val="37"/>
    <w:qFormat/>
    <w:uiPriority w:val="0"/>
    <w:rPr>
      <w:rFonts w:ascii="Times New Roman" w:hAnsi="Times New Roman" w:eastAsia="宋体" w:cs="Times New Roman"/>
      <w:kern w:val="2"/>
      <w:sz w:val="21"/>
      <w:lang w:val="zh-CN"/>
    </w:rPr>
  </w:style>
  <w:style w:type="character" w:customStyle="1" w:styleId="40">
    <w:name w:val="题注 Char"/>
    <w:link w:val="6"/>
    <w:qFormat/>
    <w:uiPriority w:val="0"/>
    <w:rPr>
      <w:rFonts w:ascii="Times New Roman" w:hAnsi="Times New Roman" w:eastAsia="Times New Roman" w:cs="Times New Roman"/>
      <w:b/>
      <w:lang w:val="en-GB" w:eastAsia="ar-SA"/>
    </w:rPr>
  </w:style>
  <w:style w:type="character" w:styleId="41">
    <w:name w:val="Placeholder Text"/>
    <w:basedOn w:val="19"/>
    <w:unhideWhenUsed/>
    <w:qFormat/>
    <w:uiPriority w:val="99"/>
    <w:rPr>
      <w:color w:val="808080"/>
    </w:rPr>
  </w:style>
  <w:style w:type="paragraph" w:customStyle="1" w:styleId="42">
    <w:name w:val="Style1"/>
    <w:basedOn w:val="1"/>
    <w:qFormat/>
    <w:uiPriority w:val="0"/>
    <w:pPr>
      <w:spacing w:after="100" w:afterAutospacing="1" w:line="300" w:lineRule="auto"/>
      <w:ind w:firstLine="360"/>
      <w:contextualSpacing/>
    </w:pPr>
  </w:style>
  <w:style w:type="paragraph" w:customStyle="1" w:styleId="43">
    <w:name w:val="TH"/>
    <w:basedOn w:val="1"/>
    <w:qFormat/>
    <w:uiPriority w:val="0"/>
    <w:pPr>
      <w:keepNext/>
      <w:keepLines/>
      <w:spacing w:before="60" w:line="240" w:lineRule="auto"/>
      <w:jc w:val="center"/>
    </w:pPr>
    <w:rPr>
      <w:rFonts w:ascii="Arial" w:hAnsi="Arial"/>
      <w:b/>
    </w:rPr>
  </w:style>
  <w:style w:type="paragraph" w:customStyle="1" w:styleId="44">
    <w:name w:val="TAH"/>
    <w:basedOn w:val="45"/>
    <w:qFormat/>
    <w:uiPriority w:val="0"/>
    <w:rPr>
      <w:b/>
    </w:rPr>
  </w:style>
  <w:style w:type="paragraph" w:customStyle="1" w:styleId="45">
    <w:name w:val="TAC"/>
    <w:basedOn w:val="46"/>
    <w:qFormat/>
    <w:uiPriority w:val="0"/>
    <w:pPr>
      <w:jc w:val="center"/>
    </w:pPr>
  </w:style>
  <w:style w:type="paragraph" w:customStyle="1" w:styleId="46">
    <w:name w:val="TAL"/>
    <w:basedOn w:val="1"/>
    <w:qFormat/>
    <w:uiPriority w:val="0"/>
    <w:pPr>
      <w:keepNext/>
      <w:keepLines/>
      <w:spacing w:line="240" w:lineRule="auto"/>
    </w:pPr>
    <w:rPr>
      <w:rFonts w:ascii="Arial" w:hAnsi="Arial"/>
      <w:sz w:val="18"/>
    </w:rPr>
  </w:style>
  <w:style w:type="paragraph" w:customStyle="1" w:styleId="47">
    <w:name w:val="TAN"/>
    <w:basedOn w:val="46"/>
    <w:qFormat/>
    <w:uiPriority w:val="0"/>
    <w:pPr>
      <w:ind w:left="851" w:hanging="851"/>
    </w:pPr>
  </w:style>
  <w:style w:type="paragraph" w:customStyle="1" w:styleId="48">
    <w:name w:val="FP"/>
    <w:basedOn w:val="1"/>
    <w:qFormat/>
    <w:uiPriority w:val="0"/>
    <w:pPr>
      <w:spacing w:line="240" w:lineRule="auto"/>
    </w:pPr>
  </w:style>
  <w:style w:type="character" w:customStyle="1" w:styleId="49">
    <w:name w:val="apple-converted-space"/>
    <w:qFormat/>
    <w:uiPriority w:val="0"/>
  </w:style>
  <w:style w:type="paragraph" w:customStyle="1" w:styleId="50">
    <w:name w:val="x_xxmsolistparagraph"/>
    <w:basedOn w:val="1"/>
    <w:qFormat/>
    <w:uiPriority w:val="99"/>
    <w:pPr>
      <w:ind w:left="800"/>
    </w:pPr>
    <w:rPr>
      <w:rFonts w:ascii="Calibri" w:hAnsi="Calibri" w:cs="Calibri"/>
      <w:szCs w:val="21"/>
    </w:rPr>
  </w:style>
  <w:style w:type="paragraph" w:customStyle="1" w:styleId="51">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D50F30-1EA4-4F51-8C70-C57A9C312971}">
  <ds:schemaRefs/>
</ds:datastoreItem>
</file>

<file path=docProps/app.xml><?xml version="1.0" encoding="utf-8"?>
<Properties xmlns="http://schemas.openxmlformats.org/officeDocument/2006/extended-properties" xmlns:vt="http://schemas.openxmlformats.org/officeDocument/2006/docPropsVTypes">
  <Template>Normal.dotm</Template>
  <Company>HP</Company>
  <Pages>14</Pages>
  <Words>4114</Words>
  <Characters>23453</Characters>
  <Lines>195</Lines>
  <Paragraphs>55</Paragraphs>
  <TotalTime>337</TotalTime>
  <ScaleCrop>false</ScaleCrop>
  <LinksUpToDate>false</LinksUpToDate>
  <CharactersWithSpaces>27512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2020-10-22T14:30:00Z</dcterms:created>
  <dc:creator>ZTE</dc:creator>
  <cp:lastModifiedBy>ZTE - Boyuan</cp:lastModifiedBy>
  <dcterms:modified xsi:type="dcterms:W3CDTF">2020-10-23T14:10:01Z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